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49980" w14:textId="77777777" w:rsidR="004571B9" w:rsidRDefault="004571B9" w:rsidP="004571B9">
      <w:pPr>
        <w:spacing w:before="240" w:after="240" w:line="280" w:lineRule="exact"/>
        <w:rPr>
          <w:rFonts w:ascii="Arial" w:hAnsi="Arial" w:cs="Arial"/>
          <w:b/>
          <w:sz w:val="28"/>
          <w:szCs w:val="28"/>
        </w:rPr>
      </w:pPr>
    </w:p>
    <w:p w14:paraId="15349983" w14:textId="15F46FA3" w:rsidR="004571B9" w:rsidRPr="00CC7B01" w:rsidRDefault="004F6A5E" w:rsidP="00CC7B01">
      <w:pPr>
        <w:spacing w:before="240" w:after="240" w:line="280" w:lineRule="exact"/>
        <w:rPr>
          <w:rFonts w:ascii="Arial" w:hAnsi="Arial" w:cs="Arial"/>
          <w:b/>
          <w:sz w:val="28"/>
          <w:szCs w:val="28"/>
        </w:rPr>
      </w:pPr>
      <w:r>
        <w:rPr>
          <w:rFonts w:ascii="Arial" w:hAnsi="Arial" w:cs="Arial"/>
          <w:b/>
          <w:sz w:val="28"/>
          <w:szCs w:val="28"/>
        </w:rPr>
        <w:t>Performance Reporting</w:t>
      </w:r>
      <w:r w:rsidR="00CC7B01">
        <w:rPr>
          <w:rFonts w:ascii="Arial" w:hAnsi="Arial" w:cs="Arial"/>
          <w:b/>
          <w:sz w:val="28"/>
          <w:szCs w:val="28"/>
        </w:rPr>
        <w:t xml:space="preserve"> – April to September 2017</w:t>
      </w:r>
    </w:p>
    <w:p w14:paraId="15349984" w14:textId="77777777" w:rsidR="004571B9" w:rsidRPr="004571B9" w:rsidRDefault="004571B9" w:rsidP="004571B9">
      <w:pPr>
        <w:rPr>
          <w:rFonts w:ascii="Arial" w:hAnsi="Arial" w:cs="Arial"/>
          <w:b/>
          <w:sz w:val="22"/>
          <w:szCs w:val="22"/>
        </w:rPr>
      </w:pPr>
      <w:r w:rsidRPr="004571B9">
        <w:rPr>
          <w:rFonts w:ascii="Arial" w:hAnsi="Arial" w:cs="Arial"/>
          <w:b/>
          <w:sz w:val="22"/>
          <w:szCs w:val="22"/>
        </w:rPr>
        <w:t xml:space="preserve">Purpose </w:t>
      </w:r>
    </w:p>
    <w:p w14:paraId="15349985" w14:textId="77777777" w:rsidR="004571B9" w:rsidRPr="004571B9" w:rsidRDefault="004571B9" w:rsidP="004571B9">
      <w:pPr>
        <w:rPr>
          <w:rFonts w:ascii="Arial" w:hAnsi="Arial" w:cs="Arial"/>
          <w:b/>
          <w:sz w:val="22"/>
          <w:szCs w:val="22"/>
        </w:rPr>
      </w:pPr>
    </w:p>
    <w:p w14:paraId="15349986" w14:textId="77777777" w:rsidR="004571B9" w:rsidRPr="004571B9" w:rsidRDefault="004571B9" w:rsidP="004571B9">
      <w:pPr>
        <w:rPr>
          <w:rFonts w:ascii="Arial" w:hAnsi="Arial" w:cs="Arial"/>
          <w:b/>
          <w:sz w:val="22"/>
          <w:szCs w:val="22"/>
        </w:rPr>
      </w:pPr>
      <w:r w:rsidRPr="004571B9">
        <w:rPr>
          <w:rFonts w:ascii="Arial" w:hAnsi="Arial" w:cs="Arial"/>
          <w:sz w:val="22"/>
          <w:szCs w:val="22"/>
        </w:rPr>
        <w:t>For decision.</w:t>
      </w:r>
    </w:p>
    <w:p w14:paraId="15349987" w14:textId="77777777" w:rsidR="004571B9" w:rsidRPr="004571B9" w:rsidRDefault="004571B9" w:rsidP="004571B9">
      <w:pPr>
        <w:rPr>
          <w:rFonts w:ascii="Arial" w:hAnsi="Arial" w:cs="Arial"/>
          <w:b/>
          <w:sz w:val="22"/>
          <w:szCs w:val="22"/>
        </w:rPr>
      </w:pPr>
    </w:p>
    <w:p w14:paraId="15349988" w14:textId="77777777" w:rsidR="004571B9" w:rsidRPr="004571B9" w:rsidRDefault="004571B9" w:rsidP="004571B9">
      <w:pPr>
        <w:rPr>
          <w:rFonts w:ascii="Arial" w:hAnsi="Arial" w:cs="Arial"/>
          <w:sz w:val="22"/>
          <w:szCs w:val="22"/>
        </w:rPr>
      </w:pPr>
      <w:r w:rsidRPr="004571B9">
        <w:rPr>
          <w:rFonts w:ascii="Arial" w:hAnsi="Arial" w:cs="Arial"/>
          <w:b/>
          <w:sz w:val="22"/>
          <w:szCs w:val="22"/>
        </w:rPr>
        <w:t>Summary</w:t>
      </w:r>
    </w:p>
    <w:p w14:paraId="15349989" w14:textId="77777777" w:rsidR="004571B9" w:rsidRPr="004571B9" w:rsidRDefault="004571B9" w:rsidP="004571B9">
      <w:pPr>
        <w:rPr>
          <w:rFonts w:ascii="Arial" w:hAnsi="Arial" w:cs="Arial"/>
          <w:sz w:val="22"/>
          <w:szCs w:val="22"/>
        </w:rPr>
      </w:pPr>
    </w:p>
    <w:p w14:paraId="1534998A" w14:textId="48F9CD26" w:rsidR="002E0D12" w:rsidRDefault="00CF3B76" w:rsidP="002E0D12">
      <w:pPr>
        <w:rPr>
          <w:rFonts w:ascii="Arial" w:hAnsi="Arial" w:cs="Arial"/>
          <w:sz w:val="22"/>
          <w:szCs w:val="22"/>
        </w:rPr>
      </w:pPr>
      <w:r>
        <w:rPr>
          <w:rFonts w:ascii="Arial" w:hAnsi="Arial" w:cs="Arial"/>
          <w:sz w:val="22"/>
          <w:szCs w:val="22"/>
        </w:rPr>
        <w:t>This</w:t>
      </w:r>
      <w:r w:rsidR="008F1EBE">
        <w:rPr>
          <w:rFonts w:ascii="Arial" w:hAnsi="Arial" w:cs="Arial"/>
          <w:sz w:val="22"/>
          <w:szCs w:val="22"/>
        </w:rPr>
        <w:t xml:space="preserve"> performance</w:t>
      </w:r>
      <w:r w:rsidR="00B57AED">
        <w:rPr>
          <w:rFonts w:ascii="Arial" w:hAnsi="Arial" w:cs="Arial"/>
          <w:sz w:val="22"/>
          <w:szCs w:val="22"/>
        </w:rPr>
        <w:t xml:space="preserve"> monitoring report presents</w:t>
      </w:r>
      <w:r w:rsidR="00010011">
        <w:rPr>
          <w:rFonts w:ascii="Arial" w:hAnsi="Arial" w:cs="Arial"/>
          <w:sz w:val="22"/>
          <w:szCs w:val="22"/>
        </w:rPr>
        <w:t xml:space="preserve"> a summary of the LGA’s performance </w:t>
      </w:r>
      <w:r>
        <w:rPr>
          <w:rFonts w:ascii="Arial" w:hAnsi="Arial" w:cs="Arial"/>
          <w:sz w:val="22"/>
          <w:szCs w:val="22"/>
        </w:rPr>
        <w:t>from April to September</w:t>
      </w:r>
      <w:r w:rsidR="00EC569A">
        <w:rPr>
          <w:rFonts w:ascii="Arial" w:hAnsi="Arial" w:cs="Arial"/>
          <w:sz w:val="22"/>
          <w:szCs w:val="22"/>
        </w:rPr>
        <w:t xml:space="preserve"> 2017</w:t>
      </w:r>
      <w:r w:rsidR="00010011">
        <w:rPr>
          <w:rFonts w:ascii="Arial" w:hAnsi="Arial" w:cs="Arial"/>
          <w:sz w:val="22"/>
          <w:szCs w:val="22"/>
        </w:rPr>
        <w:t>.</w:t>
      </w:r>
    </w:p>
    <w:p w14:paraId="15349990" w14:textId="77777777" w:rsidR="004571B9" w:rsidRPr="004571B9" w:rsidRDefault="004571B9" w:rsidP="004571B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4571B9" w:rsidRPr="004571B9" w14:paraId="1534999A" w14:textId="77777777" w:rsidTr="003B5722">
        <w:tc>
          <w:tcPr>
            <w:tcW w:w="9157" w:type="dxa"/>
          </w:tcPr>
          <w:p w14:paraId="15349991" w14:textId="77777777" w:rsidR="004571B9" w:rsidRPr="004571B9" w:rsidRDefault="004571B9" w:rsidP="004571B9">
            <w:pPr>
              <w:rPr>
                <w:rFonts w:ascii="Arial" w:hAnsi="Arial" w:cs="Arial"/>
                <w:b/>
                <w:sz w:val="22"/>
                <w:szCs w:val="22"/>
              </w:rPr>
            </w:pPr>
          </w:p>
          <w:p w14:paraId="15349992" w14:textId="77777777" w:rsidR="004571B9" w:rsidRPr="004571B9" w:rsidRDefault="00010011" w:rsidP="004571B9">
            <w:pPr>
              <w:rPr>
                <w:rFonts w:ascii="Arial" w:hAnsi="Arial" w:cs="Arial"/>
                <w:b/>
                <w:sz w:val="22"/>
                <w:szCs w:val="22"/>
              </w:rPr>
            </w:pPr>
            <w:r>
              <w:rPr>
                <w:rFonts w:ascii="Arial" w:hAnsi="Arial" w:cs="Arial"/>
                <w:b/>
                <w:sz w:val="22"/>
                <w:szCs w:val="22"/>
              </w:rPr>
              <w:t>Recommendation</w:t>
            </w:r>
          </w:p>
          <w:p w14:paraId="15349993" w14:textId="77777777" w:rsidR="004571B9" w:rsidRPr="004571B9" w:rsidRDefault="004571B9" w:rsidP="004571B9">
            <w:pPr>
              <w:rPr>
                <w:rFonts w:ascii="Arial" w:hAnsi="Arial" w:cs="Arial"/>
                <w:sz w:val="22"/>
                <w:szCs w:val="22"/>
              </w:rPr>
            </w:pPr>
          </w:p>
          <w:p w14:paraId="6AD05DD2" w14:textId="3D1956FE" w:rsidR="00C35669" w:rsidRDefault="00C35669" w:rsidP="00C35669">
            <w:pPr>
              <w:rPr>
                <w:rFonts w:ascii="Arial" w:hAnsi="Arial" w:cs="Arial"/>
                <w:sz w:val="22"/>
                <w:szCs w:val="22"/>
              </w:rPr>
            </w:pPr>
            <w:r>
              <w:rPr>
                <w:rFonts w:ascii="Arial" w:hAnsi="Arial" w:cs="Arial"/>
                <w:sz w:val="22"/>
                <w:szCs w:val="22"/>
              </w:rPr>
              <w:t xml:space="preserve">That the </w:t>
            </w:r>
            <w:r w:rsidR="00F30AFD">
              <w:rPr>
                <w:rFonts w:ascii="Arial" w:hAnsi="Arial" w:cs="Arial"/>
                <w:sz w:val="22"/>
                <w:szCs w:val="22"/>
              </w:rPr>
              <w:t xml:space="preserve">LGA </w:t>
            </w:r>
            <w:r w:rsidR="00FD25A9">
              <w:rPr>
                <w:rFonts w:ascii="Arial" w:hAnsi="Arial" w:cs="Arial"/>
                <w:sz w:val="22"/>
                <w:szCs w:val="22"/>
              </w:rPr>
              <w:t>Leadership Board</w:t>
            </w:r>
            <w:r>
              <w:rPr>
                <w:rFonts w:ascii="Arial" w:hAnsi="Arial" w:cs="Arial"/>
                <w:sz w:val="22"/>
                <w:szCs w:val="22"/>
              </w:rPr>
              <w:t xml:space="preserve"> review the LGA’s 6 month performance report.</w:t>
            </w:r>
          </w:p>
          <w:p w14:paraId="15349995" w14:textId="77777777" w:rsidR="004571B9" w:rsidRPr="004571B9" w:rsidRDefault="004571B9" w:rsidP="004571B9">
            <w:pPr>
              <w:rPr>
                <w:rFonts w:ascii="Arial" w:hAnsi="Arial" w:cs="Arial"/>
                <w:sz w:val="22"/>
                <w:szCs w:val="22"/>
              </w:rPr>
            </w:pPr>
          </w:p>
          <w:p w14:paraId="15349996" w14:textId="06729BF0" w:rsidR="004571B9" w:rsidRPr="004571B9" w:rsidRDefault="000F68E9" w:rsidP="004571B9">
            <w:pPr>
              <w:rPr>
                <w:rFonts w:ascii="Arial" w:hAnsi="Arial" w:cs="Arial"/>
                <w:b/>
                <w:sz w:val="22"/>
                <w:szCs w:val="22"/>
              </w:rPr>
            </w:pPr>
            <w:r>
              <w:rPr>
                <w:rFonts w:ascii="Arial" w:hAnsi="Arial" w:cs="Arial"/>
                <w:b/>
                <w:sz w:val="22"/>
                <w:szCs w:val="22"/>
              </w:rPr>
              <w:t>Action</w:t>
            </w:r>
            <w:bookmarkStart w:id="0" w:name="_GoBack"/>
            <w:bookmarkEnd w:id="0"/>
          </w:p>
          <w:p w14:paraId="15349997" w14:textId="77777777" w:rsidR="004571B9" w:rsidRPr="004571B9" w:rsidRDefault="004571B9" w:rsidP="004571B9">
            <w:pPr>
              <w:rPr>
                <w:rFonts w:ascii="Arial" w:hAnsi="Arial" w:cs="Arial"/>
                <w:b/>
                <w:sz w:val="22"/>
                <w:szCs w:val="22"/>
              </w:rPr>
            </w:pPr>
          </w:p>
          <w:p w14:paraId="15349998" w14:textId="77777777" w:rsidR="004571B9" w:rsidRPr="004571B9" w:rsidRDefault="001C203A" w:rsidP="004571B9">
            <w:pPr>
              <w:rPr>
                <w:rFonts w:ascii="Arial" w:hAnsi="Arial" w:cs="Arial"/>
                <w:sz w:val="22"/>
                <w:szCs w:val="22"/>
              </w:rPr>
            </w:pPr>
            <w:r>
              <w:rPr>
                <w:rFonts w:ascii="Arial" w:hAnsi="Arial" w:cs="Arial"/>
                <w:sz w:val="22"/>
                <w:szCs w:val="22"/>
              </w:rPr>
              <w:t>Officers to initiate any required action</w:t>
            </w:r>
          </w:p>
          <w:p w14:paraId="15349999" w14:textId="77777777" w:rsidR="004571B9" w:rsidRPr="004571B9" w:rsidRDefault="004571B9" w:rsidP="004571B9">
            <w:pPr>
              <w:rPr>
                <w:rFonts w:ascii="Arial" w:hAnsi="Arial" w:cs="Arial"/>
                <w:b/>
                <w:sz w:val="22"/>
                <w:szCs w:val="22"/>
              </w:rPr>
            </w:pPr>
          </w:p>
        </w:tc>
      </w:tr>
    </w:tbl>
    <w:p w14:paraId="1534999B" w14:textId="77777777" w:rsidR="004571B9" w:rsidRPr="004571B9" w:rsidRDefault="004571B9" w:rsidP="004571B9">
      <w:pPr>
        <w:rPr>
          <w:rFonts w:ascii="Arial" w:hAnsi="Arial" w:cs="Arial"/>
          <w:sz w:val="22"/>
          <w:szCs w:val="22"/>
        </w:rPr>
      </w:pPr>
    </w:p>
    <w:p w14:paraId="1534999C" w14:textId="77777777" w:rsidR="004571B9" w:rsidRPr="004571B9" w:rsidRDefault="004571B9" w:rsidP="004571B9">
      <w:pPr>
        <w:rPr>
          <w:rFonts w:ascii="Arial" w:hAnsi="Arial" w:cs="Arial"/>
          <w:sz w:val="22"/>
          <w:szCs w:val="22"/>
        </w:rPr>
      </w:pPr>
    </w:p>
    <w:p w14:paraId="1534999D" w14:textId="77777777" w:rsidR="004571B9" w:rsidRPr="004571B9" w:rsidRDefault="004571B9" w:rsidP="004571B9">
      <w:pPr>
        <w:rPr>
          <w:rFonts w:ascii="Arial" w:hAnsi="Arial" w:cs="Arial"/>
          <w:sz w:val="22"/>
          <w:szCs w:val="22"/>
        </w:rPr>
      </w:pPr>
    </w:p>
    <w:tbl>
      <w:tblPr>
        <w:tblStyle w:val="TableGrid"/>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5"/>
        <w:gridCol w:w="3569"/>
        <w:gridCol w:w="2976"/>
      </w:tblGrid>
      <w:tr w:rsidR="001C203A" w:rsidRPr="004571B9" w14:paraId="153499A1" w14:textId="77777777" w:rsidTr="001C203A">
        <w:tc>
          <w:tcPr>
            <w:tcW w:w="2635" w:type="dxa"/>
          </w:tcPr>
          <w:p w14:paraId="1534999E" w14:textId="77777777" w:rsidR="001C203A" w:rsidRPr="004571B9" w:rsidRDefault="001C203A" w:rsidP="004571B9">
            <w:pPr>
              <w:spacing w:before="120"/>
              <w:rPr>
                <w:rFonts w:ascii="Arial" w:hAnsi="Arial" w:cs="Arial"/>
                <w:sz w:val="22"/>
                <w:szCs w:val="22"/>
              </w:rPr>
            </w:pPr>
            <w:r w:rsidRPr="004571B9">
              <w:rPr>
                <w:rFonts w:ascii="Arial" w:hAnsi="Arial" w:cs="Arial"/>
                <w:b/>
                <w:sz w:val="22"/>
                <w:szCs w:val="22"/>
              </w:rPr>
              <w:t>Contact officer:</w:t>
            </w:r>
            <w:r w:rsidRPr="004571B9">
              <w:rPr>
                <w:rFonts w:ascii="Arial" w:hAnsi="Arial" w:cs="Arial"/>
                <w:sz w:val="22"/>
                <w:szCs w:val="22"/>
              </w:rPr>
              <w:t xml:space="preserve"> </w:t>
            </w:r>
          </w:p>
        </w:tc>
        <w:tc>
          <w:tcPr>
            <w:tcW w:w="3569" w:type="dxa"/>
          </w:tcPr>
          <w:p w14:paraId="1534999F" w14:textId="5354BA12" w:rsidR="001C203A" w:rsidRPr="004571B9" w:rsidRDefault="00FD25A9" w:rsidP="004571B9">
            <w:pPr>
              <w:spacing w:before="120"/>
              <w:rPr>
                <w:rFonts w:ascii="Arial" w:hAnsi="Arial" w:cs="Arial"/>
                <w:sz w:val="22"/>
                <w:szCs w:val="22"/>
              </w:rPr>
            </w:pPr>
            <w:r>
              <w:rPr>
                <w:rFonts w:ascii="Arial" w:hAnsi="Arial" w:cs="Arial"/>
                <w:sz w:val="22"/>
                <w:szCs w:val="22"/>
              </w:rPr>
              <w:t>Claire Holloway</w:t>
            </w:r>
          </w:p>
        </w:tc>
        <w:tc>
          <w:tcPr>
            <w:tcW w:w="2976" w:type="dxa"/>
          </w:tcPr>
          <w:p w14:paraId="153499A0" w14:textId="1A2A9AEF" w:rsidR="001C203A" w:rsidRDefault="001C203A" w:rsidP="004571B9">
            <w:pPr>
              <w:spacing w:before="120"/>
              <w:rPr>
                <w:rFonts w:ascii="Arial" w:hAnsi="Arial" w:cs="Arial"/>
                <w:sz w:val="22"/>
                <w:szCs w:val="22"/>
              </w:rPr>
            </w:pPr>
          </w:p>
        </w:tc>
      </w:tr>
      <w:tr w:rsidR="001C203A" w:rsidRPr="004571B9" w14:paraId="153499A5" w14:textId="77777777" w:rsidTr="001C203A">
        <w:tc>
          <w:tcPr>
            <w:tcW w:w="2635" w:type="dxa"/>
          </w:tcPr>
          <w:p w14:paraId="153499A2" w14:textId="77777777" w:rsidR="001C203A" w:rsidRPr="004571B9" w:rsidRDefault="001C203A" w:rsidP="004571B9">
            <w:pPr>
              <w:spacing w:before="120"/>
              <w:rPr>
                <w:rFonts w:ascii="Arial" w:hAnsi="Arial" w:cs="Arial"/>
                <w:b/>
                <w:sz w:val="22"/>
                <w:szCs w:val="22"/>
              </w:rPr>
            </w:pPr>
            <w:r w:rsidRPr="004571B9">
              <w:rPr>
                <w:rFonts w:ascii="Arial" w:hAnsi="Arial" w:cs="Arial"/>
                <w:b/>
                <w:sz w:val="22"/>
                <w:szCs w:val="22"/>
              </w:rPr>
              <w:t>Position:</w:t>
            </w:r>
          </w:p>
        </w:tc>
        <w:tc>
          <w:tcPr>
            <w:tcW w:w="3569" w:type="dxa"/>
          </w:tcPr>
          <w:p w14:paraId="153499A3" w14:textId="2E0AE982" w:rsidR="001C203A" w:rsidRPr="004571B9" w:rsidRDefault="00FD25A9" w:rsidP="001C203A">
            <w:pPr>
              <w:spacing w:before="120"/>
              <w:rPr>
                <w:rFonts w:ascii="Arial" w:hAnsi="Arial" w:cs="Arial"/>
                <w:sz w:val="22"/>
                <w:szCs w:val="22"/>
              </w:rPr>
            </w:pPr>
            <w:r>
              <w:rPr>
                <w:rFonts w:ascii="Arial" w:hAnsi="Arial" w:cs="Arial"/>
                <w:sz w:val="22"/>
                <w:szCs w:val="22"/>
              </w:rPr>
              <w:t>Head of Corporate Services</w:t>
            </w:r>
          </w:p>
        </w:tc>
        <w:tc>
          <w:tcPr>
            <w:tcW w:w="2976" w:type="dxa"/>
          </w:tcPr>
          <w:p w14:paraId="153499A4" w14:textId="6F86922C" w:rsidR="001C203A" w:rsidRPr="004571B9" w:rsidRDefault="001C203A" w:rsidP="004571B9">
            <w:pPr>
              <w:spacing w:before="120"/>
              <w:rPr>
                <w:rFonts w:ascii="Arial" w:hAnsi="Arial" w:cs="Arial"/>
                <w:sz w:val="22"/>
                <w:szCs w:val="22"/>
              </w:rPr>
            </w:pPr>
          </w:p>
        </w:tc>
      </w:tr>
      <w:tr w:rsidR="001C203A" w:rsidRPr="004571B9" w14:paraId="153499A9" w14:textId="77777777" w:rsidTr="001C203A">
        <w:tc>
          <w:tcPr>
            <w:tcW w:w="2635" w:type="dxa"/>
          </w:tcPr>
          <w:p w14:paraId="153499A6" w14:textId="77777777" w:rsidR="001C203A" w:rsidRPr="004571B9" w:rsidRDefault="001C203A" w:rsidP="004571B9">
            <w:pPr>
              <w:spacing w:before="120"/>
              <w:rPr>
                <w:rFonts w:ascii="Arial" w:hAnsi="Arial" w:cs="Arial"/>
                <w:b/>
                <w:sz w:val="22"/>
                <w:szCs w:val="22"/>
              </w:rPr>
            </w:pPr>
            <w:r w:rsidRPr="004571B9">
              <w:rPr>
                <w:rFonts w:ascii="Arial" w:hAnsi="Arial" w:cs="Arial"/>
                <w:b/>
                <w:sz w:val="22"/>
                <w:szCs w:val="22"/>
              </w:rPr>
              <w:t>Phone no:</w:t>
            </w:r>
          </w:p>
        </w:tc>
        <w:tc>
          <w:tcPr>
            <w:tcW w:w="3569" w:type="dxa"/>
          </w:tcPr>
          <w:p w14:paraId="153499A7" w14:textId="4BA9D3E2" w:rsidR="001C203A" w:rsidRPr="004571B9" w:rsidRDefault="001C203A" w:rsidP="009E1715">
            <w:pPr>
              <w:spacing w:before="120"/>
              <w:rPr>
                <w:rFonts w:ascii="Arial" w:hAnsi="Arial" w:cs="Arial"/>
                <w:sz w:val="22"/>
                <w:szCs w:val="22"/>
              </w:rPr>
            </w:pPr>
            <w:r>
              <w:rPr>
                <w:rFonts w:ascii="Arial" w:hAnsi="Arial" w:cs="Arial"/>
                <w:sz w:val="22"/>
                <w:szCs w:val="22"/>
              </w:rPr>
              <w:t xml:space="preserve">020 7664 </w:t>
            </w:r>
            <w:r w:rsidR="009E1715">
              <w:rPr>
                <w:rFonts w:ascii="Arial" w:hAnsi="Arial" w:cs="Arial"/>
                <w:sz w:val="22"/>
                <w:szCs w:val="22"/>
              </w:rPr>
              <w:t>31</w:t>
            </w:r>
            <w:r w:rsidR="00FD25A9">
              <w:rPr>
                <w:rFonts w:ascii="Arial" w:hAnsi="Arial" w:cs="Arial"/>
                <w:sz w:val="22"/>
                <w:szCs w:val="22"/>
              </w:rPr>
              <w:t>56</w:t>
            </w:r>
          </w:p>
        </w:tc>
        <w:tc>
          <w:tcPr>
            <w:tcW w:w="2976" w:type="dxa"/>
          </w:tcPr>
          <w:p w14:paraId="153499A8" w14:textId="2695947E" w:rsidR="001C203A" w:rsidRPr="004571B9" w:rsidRDefault="001C203A" w:rsidP="004571B9">
            <w:pPr>
              <w:spacing w:before="120"/>
              <w:rPr>
                <w:rFonts w:ascii="Arial" w:hAnsi="Arial" w:cs="Arial"/>
                <w:sz w:val="22"/>
                <w:szCs w:val="22"/>
              </w:rPr>
            </w:pPr>
          </w:p>
        </w:tc>
      </w:tr>
      <w:tr w:rsidR="001C203A" w:rsidRPr="004571B9" w14:paraId="153499AF" w14:textId="77777777" w:rsidTr="001C203A">
        <w:trPr>
          <w:trHeight w:val="507"/>
        </w:trPr>
        <w:tc>
          <w:tcPr>
            <w:tcW w:w="2635" w:type="dxa"/>
          </w:tcPr>
          <w:p w14:paraId="153499AA" w14:textId="77777777" w:rsidR="001C203A" w:rsidRPr="004571B9" w:rsidRDefault="001C203A" w:rsidP="004571B9">
            <w:pPr>
              <w:spacing w:before="120"/>
              <w:rPr>
                <w:rFonts w:ascii="Arial" w:hAnsi="Arial" w:cs="Arial"/>
                <w:b/>
                <w:sz w:val="22"/>
                <w:szCs w:val="22"/>
              </w:rPr>
            </w:pPr>
            <w:r w:rsidRPr="004571B9">
              <w:rPr>
                <w:rFonts w:ascii="Arial" w:hAnsi="Arial" w:cs="Arial"/>
                <w:b/>
                <w:sz w:val="22"/>
                <w:szCs w:val="22"/>
              </w:rPr>
              <w:t>Email:</w:t>
            </w:r>
          </w:p>
        </w:tc>
        <w:tc>
          <w:tcPr>
            <w:tcW w:w="3569" w:type="dxa"/>
          </w:tcPr>
          <w:p w14:paraId="153499AB" w14:textId="2CF0B8CF" w:rsidR="001C203A" w:rsidRDefault="00FD25A9" w:rsidP="004571B9">
            <w:pPr>
              <w:spacing w:before="120"/>
              <w:rPr>
                <w:rFonts w:ascii="Arial" w:hAnsi="Arial" w:cs="Arial"/>
                <w:sz w:val="22"/>
                <w:szCs w:val="22"/>
              </w:rPr>
            </w:pPr>
            <w:r w:rsidRPr="00FD25A9">
              <w:rPr>
                <w:rFonts w:ascii="Arial" w:hAnsi="Arial" w:cs="Arial"/>
                <w:sz w:val="22"/>
                <w:szCs w:val="22"/>
              </w:rPr>
              <w:t>Claire.Holloway@local.gov.uk</w:t>
            </w:r>
          </w:p>
          <w:p w14:paraId="153499AC" w14:textId="77777777" w:rsidR="001C203A" w:rsidRPr="001C203A" w:rsidRDefault="001C203A" w:rsidP="004571B9">
            <w:pPr>
              <w:spacing w:before="120"/>
              <w:rPr>
                <w:rFonts w:ascii="Arial" w:hAnsi="Arial" w:cs="Arial"/>
                <w:sz w:val="22"/>
                <w:szCs w:val="22"/>
              </w:rPr>
            </w:pPr>
          </w:p>
        </w:tc>
        <w:tc>
          <w:tcPr>
            <w:tcW w:w="2976" w:type="dxa"/>
          </w:tcPr>
          <w:p w14:paraId="153499AE" w14:textId="77777777" w:rsidR="001C203A" w:rsidRPr="001C203A" w:rsidRDefault="001C203A" w:rsidP="004571B9">
            <w:pPr>
              <w:spacing w:before="120"/>
              <w:rPr>
                <w:rFonts w:ascii="Arial" w:hAnsi="Arial" w:cs="Arial"/>
                <w:sz w:val="22"/>
                <w:szCs w:val="22"/>
              </w:rPr>
            </w:pPr>
          </w:p>
        </w:tc>
      </w:tr>
    </w:tbl>
    <w:p w14:paraId="153499B0" w14:textId="77777777" w:rsidR="004571B9" w:rsidRPr="004571B9" w:rsidRDefault="004571B9" w:rsidP="004571B9">
      <w:pPr>
        <w:rPr>
          <w:rFonts w:ascii="Arial" w:hAnsi="Arial" w:cs="Arial"/>
          <w:sz w:val="22"/>
          <w:szCs w:val="22"/>
        </w:rPr>
      </w:pPr>
    </w:p>
    <w:p w14:paraId="153499B1" w14:textId="77777777" w:rsidR="00C3585C" w:rsidRPr="007535B8" w:rsidRDefault="00C3585C" w:rsidP="00C3585C">
      <w:pPr>
        <w:pStyle w:val="LGAItemNoHeading"/>
        <w:spacing w:before="720"/>
        <w:jc w:val="center"/>
        <w:rPr>
          <w:rFonts w:ascii="Arial" w:hAnsi="Arial" w:cs="Arial"/>
          <w:sz w:val="28"/>
          <w:szCs w:val="28"/>
        </w:rPr>
      </w:pPr>
    </w:p>
    <w:p w14:paraId="153499B2" w14:textId="77777777" w:rsidR="00C3585C" w:rsidRPr="007535B8" w:rsidRDefault="00C3585C" w:rsidP="00C3585C">
      <w:pPr>
        <w:pStyle w:val="LGAItemNoHeading"/>
        <w:spacing w:before="720"/>
        <w:jc w:val="center"/>
        <w:rPr>
          <w:rFonts w:ascii="Arial" w:hAnsi="Arial" w:cs="Arial"/>
          <w:sz w:val="36"/>
          <w:szCs w:val="36"/>
        </w:rPr>
      </w:pPr>
    </w:p>
    <w:p w14:paraId="153499B3" w14:textId="77777777" w:rsidR="00C3585C" w:rsidRPr="007535B8" w:rsidRDefault="00C3585C" w:rsidP="00BA5082">
      <w:pPr>
        <w:spacing w:before="120" w:after="240" w:line="280" w:lineRule="exact"/>
        <w:rPr>
          <w:rFonts w:ascii="Arial" w:hAnsi="Arial" w:cs="Arial"/>
          <w:b/>
          <w:sz w:val="28"/>
          <w:szCs w:val="28"/>
        </w:rPr>
      </w:pPr>
    </w:p>
    <w:p w14:paraId="38E639EB" w14:textId="5D6B9016" w:rsidR="00CC7B01" w:rsidRDefault="00CC7B01">
      <w:pPr>
        <w:rPr>
          <w:rFonts w:ascii="Arial" w:hAnsi="Arial" w:cs="Arial"/>
          <w:b/>
          <w:sz w:val="28"/>
          <w:szCs w:val="28"/>
        </w:rPr>
      </w:pPr>
      <w:r>
        <w:rPr>
          <w:rFonts w:ascii="Arial" w:hAnsi="Arial" w:cs="Arial"/>
          <w:b/>
          <w:sz w:val="28"/>
          <w:szCs w:val="28"/>
        </w:rPr>
        <w:br w:type="page"/>
      </w:r>
    </w:p>
    <w:p w14:paraId="153499B7" w14:textId="033FED62" w:rsidR="006B0FC2" w:rsidRPr="00CC7B01" w:rsidRDefault="00CC7B01" w:rsidP="00CC7B01">
      <w:pPr>
        <w:spacing w:before="120" w:after="240" w:line="280" w:lineRule="exact"/>
        <w:rPr>
          <w:rFonts w:ascii="Arial" w:hAnsi="Arial" w:cs="Arial"/>
          <w:b/>
          <w:sz w:val="28"/>
          <w:szCs w:val="28"/>
        </w:rPr>
      </w:pPr>
      <w:r>
        <w:rPr>
          <w:rFonts w:ascii="Arial" w:hAnsi="Arial" w:cs="Arial"/>
          <w:b/>
          <w:sz w:val="28"/>
          <w:szCs w:val="28"/>
        </w:rPr>
        <w:lastRenderedPageBreak/>
        <w:t>Performance Reporting</w:t>
      </w:r>
      <w:r w:rsidR="00566B93">
        <w:rPr>
          <w:rFonts w:ascii="Arial" w:hAnsi="Arial" w:cs="Arial"/>
          <w:b/>
          <w:sz w:val="28"/>
          <w:szCs w:val="28"/>
        </w:rPr>
        <w:t xml:space="preserve"> – </w:t>
      </w:r>
      <w:r w:rsidR="007063FB">
        <w:rPr>
          <w:rFonts w:ascii="Arial" w:hAnsi="Arial" w:cs="Arial"/>
          <w:b/>
          <w:sz w:val="28"/>
          <w:szCs w:val="28"/>
        </w:rPr>
        <w:t>April to</w:t>
      </w:r>
      <w:r>
        <w:rPr>
          <w:rFonts w:ascii="Arial" w:hAnsi="Arial" w:cs="Arial"/>
          <w:b/>
          <w:sz w:val="28"/>
          <w:szCs w:val="28"/>
        </w:rPr>
        <w:t xml:space="preserve"> September 2017</w:t>
      </w:r>
    </w:p>
    <w:p w14:paraId="153499B8" w14:textId="77777777" w:rsidR="00CB2DEB" w:rsidRPr="007535B8" w:rsidRDefault="00DB12EF" w:rsidP="00CB2DEB">
      <w:pPr>
        <w:pStyle w:val="MainText"/>
        <w:spacing w:line="240" w:lineRule="auto"/>
        <w:rPr>
          <w:rFonts w:ascii="Arial" w:hAnsi="Arial" w:cs="Arial"/>
          <w:b/>
          <w:szCs w:val="22"/>
        </w:rPr>
      </w:pPr>
      <w:r w:rsidRPr="007535B8">
        <w:rPr>
          <w:rFonts w:ascii="Arial" w:hAnsi="Arial" w:cs="Arial"/>
          <w:b/>
          <w:szCs w:val="22"/>
        </w:rPr>
        <w:t>Background</w:t>
      </w:r>
    </w:p>
    <w:p w14:paraId="153499B9" w14:textId="77777777" w:rsidR="00B756D3" w:rsidRPr="007535B8" w:rsidRDefault="00B756D3" w:rsidP="00B756D3">
      <w:pPr>
        <w:rPr>
          <w:rFonts w:ascii="Arial" w:hAnsi="Arial" w:cs="Arial"/>
          <w:sz w:val="22"/>
          <w:szCs w:val="22"/>
        </w:rPr>
      </w:pPr>
    </w:p>
    <w:p w14:paraId="6B299E7E" w14:textId="26CB03A3" w:rsidR="008F66AC" w:rsidRPr="00EC569A" w:rsidRDefault="00E21F51" w:rsidP="00EC569A">
      <w:pPr>
        <w:numPr>
          <w:ilvl w:val="0"/>
          <w:numId w:val="22"/>
        </w:numPr>
        <w:tabs>
          <w:tab w:val="clear" w:pos="680"/>
          <w:tab w:val="num" w:pos="426"/>
        </w:tabs>
        <w:ind w:left="426" w:hanging="426"/>
        <w:rPr>
          <w:rFonts w:ascii="Arial" w:hAnsi="Arial" w:cs="Arial"/>
          <w:sz w:val="22"/>
          <w:szCs w:val="22"/>
        </w:rPr>
      </w:pPr>
      <w:r>
        <w:rPr>
          <w:rFonts w:ascii="Arial" w:hAnsi="Arial" w:cs="Arial"/>
          <w:sz w:val="22"/>
          <w:szCs w:val="22"/>
        </w:rPr>
        <w:t>The updated</w:t>
      </w:r>
      <w:r w:rsidR="00F71BCC">
        <w:rPr>
          <w:rFonts w:ascii="Arial" w:hAnsi="Arial" w:cs="Arial"/>
          <w:sz w:val="22"/>
          <w:szCs w:val="22"/>
        </w:rPr>
        <w:t xml:space="preserve"> B</w:t>
      </w:r>
      <w:r>
        <w:rPr>
          <w:rFonts w:ascii="Arial" w:hAnsi="Arial" w:cs="Arial"/>
          <w:sz w:val="22"/>
          <w:szCs w:val="22"/>
        </w:rPr>
        <w:t xml:space="preserve">usiness </w:t>
      </w:r>
      <w:r w:rsidR="00F71BCC">
        <w:rPr>
          <w:rFonts w:ascii="Arial" w:hAnsi="Arial" w:cs="Arial"/>
          <w:sz w:val="22"/>
          <w:szCs w:val="22"/>
        </w:rPr>
        <w:t>P</w:t>
      </w:r>
      <w:r>
        <w:rPr>
          <w:rFonts w:ascii="Arial" w:hAnsi="Arial" w:cs="Arial"/>
          <w:sz w:val="22"/>
          <w:szCs w:val="22"/>
        </w:rPr>
        <w:t xml:space="preserve">lan for </w:t>
      </w:r>
      <w:r w:rsidR="00CF3B76">
        <w:rPr>
          <w:rFonts w:ascii="Arial" w:hAnsi="Arial" w:cs="Arial"/>
          <w:sz w:val="22"/>
          <w:szCs w:val="22"/>
        </w:rPr>
        <w:t>2017/18</w:t>
      </w:r>
      <w:r w:rsidR="00F71BCC">
        <w:rPr>
          <w:rFonts w:ascii="Arial" w:hAnsi="Arial" w:cs="Arial"/>
          <w:sz w:val="22"/>
          <w:szCs w:val="22"/>
        </w:rPr>
        <w:t xml:space="preserve"> received final sign off</w:t>
      </w:r>
      <w:r>
        <w:rPr>
          <w:rFonts w:ascii="Arial" w:hAnsi="Arial" w:cs="Arial"/>
          <w:sz w:val="22"/>
          <w:szCs w:val="22"/>
        </w:rPr>
        <w:t xml:space="preserve"> by the Executive in </w:t>
      </w:r>
      <w:r w:rsidR="00CF3B76">
        <w:rPr>
          <w:rFonts w:ascii="Arial" w:hAnsi="Arial" w:cs="Arial"/>
          <w:sz w:val="22"/>
          <w:szCs w:val="22"/>
        </w:rPr>
        <w:t>September 2017.</w:t>
      </w:r>
      <w:r w:rsidR="00F71BCC">
        <w:rPr>
          <w:rFonts w:ascii="Arial" w:hAnsi="Arial" w:cs="Arial"/>
          <w:sz w:val="22"/>
          <w:szCs w:val="22"/>
        </w:rPr>
        <w:t xml:space="preserve"> </w:t>
      </w:r>
      <w:r w:rsidR="00CF3B76">
        <w:rPr>
          <w:rFonts w:ascii="Arial" w:hAnsi="Arial" w:cs="Arial"/>
          <w:sz w:val="22"/>
          <w:szCs w:val="22"/>
        </w:rPr>
        <w:t xml:space="preserve">The objectives for </w:t>
      </w:r>
      <w:r w:rsidR="00857076">
        <w:rPr>
          <w:rFonts w:ascii="Arial" w:hAnsi="Arial" w:cs="Arial"/>
          <w:sz w:val="22"/>
          <w:szCs w:val="22"/>
        </w:rPr>
        <w:t>the “LGA’s focus</w:t>
      </w:r>
      <w:r w:rsidR="00CC7B01">
        <w:rPr>
          <w:rFonts w:ascii="Arial" w:hAnsi="Arial" w:cs="Arial"/>
          <w:sz w:val="22"/>
          <w:szCs w:val="22"/>
        </w:rPr>
        <w:t>”</w:t>
      </w:r>
      <w:r w:rsidR="00857076">
        <w:rPr>
          <w:rFonts w:ascii="Arial" w:hAnsi="Arial" w:cs="Arial"/>
          <w:sz w:val="22"/>
          <w:szCs w:val="22"/>
        </w:rPr>
        <w:t xml:space="preserve"> will be updated next quarter to reflect the updated business plan.</w:t>
      </w:r>
    </w:p>
    <w:p w14:paraId="050699C0" w14:textId="5D87D654" w:rsidR="00E06AF1" w:rsidRPr="00207D32" w:rsidRDefault="00E06AF1" w:rsidP="00207D32">
      <w:pPr>
        <w:rPr>
          <w:rFonts w:ascii="Arial" w:hAnsi="Arial" w:cs="Arial"/>
          <w:sz w:val="22"/>
          <w:szCs w:val="22"/>
        </w:rPr>
      </w:pPr>
    </w:p>
    <w:p w14:paraId="2F9C2305" w14:textId="2D6A7078" w:rsidR="00E06AF1" w:rsidRDefault="00E06AF1" w:rsidP="000837A1">
      <w:pPr>
        <w:numPr>
          <w:ilvl w:val="0"/>
          <w:numId w:val="22"/>
        </w:numPr>
        <w:tabs>
          <w:tab w:val="clear" w:pos="680"/>
          <w:tab w:val="num" w:pos="426"/>
        </w:tabs>
        <w:ind w:left="426" w:hanging="426"/>
        <w:rPr>
          <w:rFonts w:ascii="Arial" w:hAnsi="Arial" w:cs="Arial"/>
          <w:sz w:val="22"/>
          <w:szCs w:val="22"/>
        </w:rPr>
      </w:pPr>
      <w:r w:rsidRPr="00B42AF8">
        <w:rPr>
          <w:rFonts w:ascii="Arial" w:hAnsi="Arial" w:cs="Arial"/>
          <w:sz w:val="22"/>
          <w:szCs w:val="22"/>
        </w:rPr>
        <w:t xml:space="preserve">The Strategic Risk Register </w:t>
      </w:r>
      <w:r w:rsidR="00312AE4" w:rsidRPr="00B42AF8">
        <w:rPr>
          <w:rFonts w:ascii="Arial" w:hAnsi="Arial" w:cs="Arial"/>
          <w:sz w:val="22"/>
          <w:szCs w:val="22"/>
        </w:rPr>
        <w:t>has b</w:t>
      </w:r>
      <w:r w:rsidR="00CD41ED">
        <w:rPr>
          <w:rFonts w:ascii="Arial" w:hAnsi="Arial" w:cs="Arial"/>
          <w:sz w:val="22"/>
          <w:szCs w:val="22"/>
        </w:rPr>
        <w:t>een circulated to C</w:t>
      </w:r>
      <w:r w:rsidR="00C7690B">
        <w:rPr>
          <w:rFonts w:ascii="Arial" w:hAnsi="Arial" w:cs="Arial"/>
          <w:sz w:val="22"/>
          <w:szCs w:val="22"/>
        </w:rPr>
        <w:t>orporate Leadership Team</w:t>
      </w:r>
      <w:r w:rsidR="0029139B">
        <w:rPr>
          <w:rFonts w:ascii="Arial" w:hAnsi="Arial" w:cs="Arial"/>
          <w:sz w:val="22"/>
          <w:szCs w:val="22"/>
        </w:rPr>
        <w:t xml:space="preserve"> to update current risks and propose additional risks.</w:t>
      </w:r>
    </w:p>
    <w:p w14:paraId="6F23B14F" w14:textId="77777777" w:rsidR="00B03B5A" w:rsidRDefault="00B03B5A" w:rsidP="00B03B5A">
      <w:pPr>
        <w:pStyle w:val="ListParagraph"/>
        <w:rPr>
          <w:rFonts w:ascii="Arial" w:hAnsi="Arial" w:cs="Arial"/>
          <w:sz w:val="22"/>
          <w:szCs w:val="22"/>
        </w:rPr>
      </w:pPr>
    </w:p>
    <w:p w14:paraId="2C811587" w14:textId="7A9B383E" w:rsidR="00B03B5A" w:rsidRPr="006E0ED4" w:rsidRDefault="00CC7B01" w:rsidP="006E0ED4">
      <w:pPr>
        <w:pStyle w:val="ListParagraph"/>
        <w:numPr>
          <w:ilvl w:val="0"/>
          <w:numId w:val="22"/>
        </w:numPr>
        <w:tabs>
          <w:tab w:val="clear" w:pos="680"/>
          <w:tab w:val="num" w:pos="426"/>
          <w:tab w:val="num" w:pos="1249"/>
        </w:tabs>
        <w:ind w:left="426" w:hanging="426"/>
        <w:rPr>
          <w:rFonts w:ascii="Arial" w:hAnsi="Arial" w:cs="Arial"/>
          <w:b/>
          <w:sz w:val="22"/>
          <w:szCs w:val="22"/>
        </w:rPr>
      </w:pPr>
      <w:r>
        <w:rPr>
          <w:rFonts w:ascii="Arial" w:hAnsi="Arial" w:cs="Arial"/>
          <w:sz w:val="22"/>
          <w:szCs w:val="22"/>
        </w:rPr>
        <w:t>The</w:t>
      </w:r>
      <w:r w:rsidR="00857076">
        <w:rPr>
          <w:rFonts w:ascii="Arial" w:hAnsi="Arial" w:cs="Arial"/>
          <w:sz w:val="22"/>
          <w:szCs w:val="22"/>
        </w:rPr>
        <w:t xml:space="preserve"> B</w:t>
      </w:r>
      <w:r w:rsidR="00C7690B">
        <w:rPr>
          <w:rFonts w:ascii="Arial" w:hAnsi="Arial" w:cs="Arial"/>
          <w:sz w:val="22"/>
          <w:szCs w:val="22"/>
        </w:rPr>
        <w:t>lack, Asian and Minority Ethnic (B</w:t>
      </w:r>
      <w:r w:rsidR="00857076">
        <w:rPr>
          <w:rFonts w:ascii="Arial" w:hAnsi="Arial" w:cs="Arial"/>
          <w:sz w:val="22"/>
          <w:szCs w:val="22"/>
        </w:rPr>
        <w:t>AME</w:t>
      </w:r>
      <w:r w:rsidR="00C7690B">
        <w:rPr>
          <w:rFonts w:ascii="Arial" w:hAnsi="Arial" w:cs="Arial"/>
          <w:sz w:val="22"/>
          <w:szCs w:val="22"/>
        </w:rPr>
        <w:t>)</w:t>
      </w:r>
      <w:r w:rsidR="00857076">
        <w:rPr>
          <w:rFonts w:ascii="Arial" w:hAnsi="Arial" w:cs="Arial"/>
          <w:sz w:val="22"/>
          <w:szCs w:val="22"/>
        </w:rPr>
        <w:t xml:space="preserve"> report had been updated to report on the profile of </w:t>
      </w:r>
      <w:r w:rsidR="00C7690B">
        <w:rPr>
          <w:rFonts w:ascii="Arial" w:hAnsi="Arial" w:cs="Arial"/>
          <w:sz w:val="22"/>
          <w:szCs w:val="22"/>
        </w:rPr>
        <w:t>Corporate Leadership Team</w:t>
      </w:r>
      <w:r w:rsidR="00857076">
        <w:rPr>
          <w:rFonts w:ascii="Arial" w:hAnsi="Arial" w:cs="Arial"/>
          <w:sz w:val="22"/>
          <w:szCs w:val="22"/>
        </w:rPr>
        <w:t xml:space="preserve"> rather than g</w:t>
      </w:r>
      <w:r w:rsidR="00B03B5A" w:rsidRPr="00B03B5A">
        <w:rPr>
          <w:rFonts w:ascii="Arial" w:hAnsi="Arial" w:cs="Arial"/>
          <w:sz w:val="22"/>
          <w:szCs w:val="22"/>
        </w:rPr>
        <w:t>rade 8 and above</w:t>
      </w:r>
      <w:r w:rsidR="00857076">
        <w:rPr>
          <w:rFonts w:ascii="Arial" w:hAnsi="Arial" w:cs="Arial"/>
          <w:sz w:val="22"/>
          <w:szCs w:val="22"/>
        </w:rPr>
        <w:t>. Additional information has also been included in regards to the gender profile of the LGA</w:t>
      </w:r>
      <w:r w:rsidR="00B03B5A" w:rsidRPr="00B03B5A">
        <w:rPr>
          <w:rFonts w:ascii="Arial" w:hAnsi="Arial" w:cs="Arial"/>
          <w:sz w:val="22"/>
          <w:szCs w:val="22"/>
        </w:rPr>
        <w:t>.</w:t>
      </w:r>
    </w:p>
    <w:p w14:paraId="153499C3" w14:textId="77777777" w:rsidR="00427623" w:rsidRDefault="00427623" w:rsidP="00035392">
      <w:pPr>
        <w:rPr>
          <w:rFonts w:ascii="Arial" w:hAnsi="Arial" w:cs="Arial"/>
          <w:sz w:val="22"/>
          <w:szCs w:val="22"/>
        </w:rPr>
      </w:pPr>
    </w:p>
    <w:p w14:paraId="153499C4" w14:textId="77777777" w:rsidR="003D09AA" w:rsidRPr="003D09AA" w:rsidRDefault="003D09AA" w:rsidP="003D09AA">
      <w:pPr>
        <w:ind w:left="426" w:hanging="426"/>
        <w:rPr>
          <w:rFonts w:ascii="Arial" w:hAnsi="Arial" w:cs="Arial"/>
          <w:b/>
          <w:sz w:val="22"/>
          <w:szCs w:val="22"/>
        </w:rPr>
      </w:pPr>
      <w:r w:rsidRPr="003D09AA">
        <w:rPr>
          <w:rFonts w:ascii="Arial" w:hAnsi="Arial" w:cs="Arial"/>
          <w:b/>
          <w:sz w:val="22"/>
          <w:szCs w:val="22"/>
        </w:rPr>
        <w:t xml:space="preserve">Performance </w:t>
      </w:r>
      <w:r w:rsidR="004A0015">
        <w:rPr>
          <w:rFonts w:ascii="Arial" w:hAnsi="Arial" w:cs="Arial"/>
          <w:b/>
          <w:sz w:val="22"/>
          <w:szCs w:val="22"/>
        </w:rPr>
        <w:t>monitoring</w:t>
      </w:r>
    </w:p>
    <w:p w14:paraId="153499C5" w14:textId="77777777" w:rsidR="00427623" w:rsidRDefault="00427623" w:rsidP="00427623">
      <w:pPr>
        <w:ind w:left="426"/>
        <w:rPr>
          <w:rFonts w:ascii="Arial" w:hAnsi="Arial" w:cs="Arial"/>
          <w:sz w:val="22"/>
          <w:szCs w:val="22"/>
        </w:rPr>
      </w:pPr>
    </w:p>
    <w:p w14:paraId="153499C6" w14:textId="6346E468" w:rsidR="003D09AA" w:rsidRDefault="003D09AA" w:rsidP="008C7258">
      <w:pPr>
        <w:numPr>
          <w:ilvl w:val="0"/>
          <w:numId w:val="22"/>
        </w:numPr>
        <w:tabs>
          <w:tab w:val="clear" w:pos="680"/>
          <w:tab w:val="num" w:pos="426"/>
        </w:tabs>
        <w:spacing w:after="120"/>
        <w:ind w:left="425" w:hanging="425"/>
        <w:rPr>
          <w:rFonts w:ascii="Arial" w:hAnsi="Arial" w:cs="Arial"/>
          <w:sz w:val="22"/>
          <w:szCs w:val="22"/>
        </w:rPr>
      </w:pPr>
      <w:r>
        <w:rPr>
          <w:rFonts w:ascii="Arial" w:hAnsi="Arial" w:cs="Arial"/>
          <w:sz w:val="22"/>
          <w:szCs w:val="22"/>
        </w:rPr>
        <w:t xml:space="preserve">This report falls into </w:t>
      </w:r>
      <w:r w:rsidR="003520D2">
        <w:rPr>
          <w:rFonts w:ascii="Arial" w:hAnsi="Arial" w:cs="Arial"/>
          <w:sz w:val="22"/>
          <w:szCs w:val="22"/>
        </w:rPr>
        <w:t>five</w:t>
      </w:r>
      <w:r>
        <w:rPr>
          <w:rFonts w:ascii="Arial" w:hAnsi="Arial" w:cs="Arial"/>
          <w:sz w:val="22"/>
          <w:szCs w:val="22"/>
        </w:rPr>
        <w:t xml:space="preserve"> s</w:t>
      </w:r>
      <w:r w:rsidR="006E0ED4">
        <w:rPr>
          <w:rFonts w:ascii="Arial" w:hAnsi="Arial" w:cs="Arial"/>
          <w:sz w:val="22"/>
          <w:szCs w:val="22"/>
        </w:rPr>
        <w:t>ections:</w:t>
      </w:r>
    </w:p>
    <w:p w14:paraId="153499C7" w14:textId="6F7EF2B1" w:rsidR="003B5722" w:rsidRDefault="001C203A" w:rsidP="008C7258">
      <w:pPr>
        <w:spacing w:after="60"/>
        <w:ind w:left="1134" w:hanging="709"/>
        <w:rPr>
          <w:rFonts w:ascii="Arial" w:hAnsi="Arial" w:cs="Arial"/>
          <w:i/>
          <w:sz w:val="22"/>
          <w:szCs w:val="22"/>
        </w:rPr>
      </w:pPr>
      <w:r>
        <w:rPr>
          <w:rFonts w:ascii="Arial" w:hAnsi="Arial" w:cs="Arial"/>
          <w:sz w:val="22"/>
          <w:szCs w:val="22"/>
        </w:rPr>
        <w:t>4.1</w:t>
      </w:r>
      <w:r>
        <w:rPr>
          <w:rFonts w:ascii="Arial" w:hAnsi="Arial" w:cs="Arial"/>
          <w:sz w:val="22"/>
          <w:szCs w:val="22"/>
        </w:rPr>
        <w:tab/>
      </w:r>
      <w:r w:rsidR="00233D14">
        <w:rPr>
          <w:rFonts w:ascii="Arial" w:hAnsi="Arial" w:cs="Arial"/>
          <w:sz w:val="22"/>
          <w:szCs w:val="22"/>
        </w:rPr>
        <w:t>T</w:t>
      </w:r>
      <w:r w:rsidR="00233D14" w:rsidRPr="00DE1B93">
        <w:rPr>
          <w:rFonts w:ascii="Arial" w:hAnsi="Arial" w:cs="Arial"/>
          <w:sz w:val="22"/>
          <w:szCs w:val="22"/>
        </w:rPr>
        <w:t xml:space="preserve">he </w:t>
      </w:r>
      <w:r w:rsidR="00233D14">
        <w:rPr>
          <w:rFonts w:ascii="Arial" w:hAnsi="Arial" w:cs="Arial"/>
          <w:sz w:val="22"/>
          <w:szCs w:val="22"/>
        </w:rPr>
        <w:t>six</w:t>
      </w:r>
      <w:r w:rsidR="00233D14" w:rsidRPr="00DE1B93">
        <w:rPr>
          <w:rFonts w:ascii="Arial" w:hAnsi="Arial" w:cs="Arial"/>
          <w:sz w:val="22"/>
          <w:szCs w:val="22"/>
        </w:rPr>
        <w:t xml:space="preserve"> </w:t>
      </w:r>
      <w:r w:rsidR="00233D14" w:rsidRPr="00CD2099">
        <w:rPr>
          <w:rFonts w:ascii="Arial" w:hAnsi="Arial" w:cs="Arial"/>
          <w:sz w:val="22"/>
          <w:szCs w:val="22"/>
        </w:rPr>
        <w:t>policy priorities</w:t>
      </w:r>
      <w:r w:rsidR="00233D14" w:rsidRPr="00DE1B93">
        <w:rPr>
          <w:rFonts w:ascii="Arial" w:hAnsi="Arial" w:cs="Arial"/>
          <w:sz w:val="22"/>
          <w:szCs w:val="22"/>
        </w:rPr>
        <w:t xml:space="preserve"> of the </w:t>
      </w:r>
      <w:r w:rsidR="00233D14">
        <w:rPr>
          <w:rFonts w:ascii="Arial" w:hAnsi="Arial" w:cs="Arial"/>
          <w:sz w:val="22"/>
          <w:szCs w:val="22"/>
        </w:rPr>
        <w:t xml:space="preserve">streamlined </w:t>
      </w:r>
      <w:r w:rsidR="00233D14" w:rsidRPr="00DE1B93">
        <w:rPr>
          <w:rFonts w:ascii="Arial" w:hAnsi="Arial" w:cs="Arial"/>
          <w:sz w:val="22"/>
          <w:szCs w:val="22"/>
        </w:rPr>
        <w:t>Business Plan</w:t>
      </w:r>
      <w:r w:rsidR="00233D14">
        <w:rPr>
          <w:rFonts w:ascii="Arial" w:hAnsi="Arial" w:cs="Arial"/>
          <w:sz w:val="22"/>
          <w:szCs w:val="22"/>
        </w:rPr>
        <w:t xml:space="preserve">  - </w:t>
      </w:r>
      <w:r w:rsidR="00233D14" w:rsidRPr="00236E75">
        <w:rPr>
          <w:rFonts w:ascii="Arial" w:hAnsi="Arial" w:cs="Arial"/>
          <w:i/>
          <w:sz w:val="22"/>
          <w:szCs w:val="22"/>
        </w:rPr>
        <w:t>Britain’s exit from the EU, Funding for Local Government, Inclusive growth, jobs and housing, Children, education and schools, Promoting Health</w:t>
      </w:r>
      <w:r w:rsidR="00233D14">
        <w:rPr>
          <w:rFonts w:ascii="Arial" w:hAnsi="Arial" w:cs="Arial"/>
          <w:i/>
          <w:sz w:val="22"/>
          <w:szCs w:val="22"/>
        </w:rPr>
        <w:t xml:space="preserve"> and Wellbeing and Devolution</w:t>
      </w:r>
    </w:p>
    <w:p w14:paraId="153499C8" w14:textId="1B774703" w:rsidR="001C203A" w:rsidRDefault="003B5722" w:rsidP="008C7258">
      <w:pPr>
        <w:spacing w:after="60"/>
        <w:ind w:left="1134" w:hanging="709"/>
        <w:rPr>
          <w:rFonts w:ascii="Arial" w:hAnsi="Arial" w:cs="Arial"/>
          <w:b/>
          <w:sz w:val="22"/>
          <w:szCs w:val="22"/>
        </w:rPr>
      </w:pPr>
      <w:r w:rsidRPr="003B5722">
        <w:rPr>
          <w:rFonts w:ascii="Arial" w:hAnsi="Arial" w:cs="Arial"/>
          <w:sz w:val="22"/>
          <w:szCs w:val="22"/>
        </w:rPr>
        <w:t>4.2</w:t>
      </w:r>
      <w:r>
        <w:rPr>
          <w:rFonts w:ascii="Arial" w:hAnsi="Arial" w:cs="Arial"/>
          <w:i/>
          <w:sz w:val="22"/>
          <w:szCs w:val="22"/>
        </w:rPr>
        <w:t xml:space="preserve"> </w:t>
      </w:r>
      <w:r>
        <w:rPr>
          <w:rFonts w:ascii="Arial" w:hAnsi="Arial" w:cs="Arial"/>
          <w:i/>
          <w:sz w:val="22"/>
          <w:szCs w:val="22"/>
        </w:rPr>
        <w:tab/>
      </w:r>
      <w:r w:rsidR="001C203A" w:rsidRPr="001538E7">
        <w:rPr>
          <w:rFonts w:ascii="Arial" w:hAnsi="Arial" w:cs="Arial"/>
          <w:sz w:val="22"/>
          <w:szCs w:val="22"/>
        </w:rPr>
        <w:t>Sector Led I</w:t>
      </w:r>
      <w:r w:rsidR="00DE1B93" w:rsidRPr="001538E7">
        <w:rPr>
          <w:rFonts w:ascii="Arial" w:hAnsi="Arial" w:cs="Arial"/>
          <w:sz w:val="22"/>
          <w:szCs w:val="22"/>
        </w:rPr>
        <w:t>mprovement</w:t>
      </w:r>
      <w:r w:rsidR="006D3181" w:rsidRPr="001538E7">
        <w:rPr>
          <w:rFonts w:ascii="Arial" w:hAnsi="Arial" w:cs="Arial"/>
          <w:sz w:val="22"/>
          <w:szCs w:val="22"/>
        </w:rPr>
        <w:t xml:space="preserve"> </w:t>
      </w:r>
      <w:r>
        <w:rPr>
          <w:rFonts w:ascii="Arial" w:hAnsi="Arial" w:cs="Arial"/>
          <w:sz w:val="22"/>
          <w:szCs w:val="22"/>
        </w:rPr>
        <w:t>via the KPIs developed for reporting to DCLG</w:t>
      </w:r>
    </w:p>
    <w:p w14:paraId="153499C9" w14:textId="77777777" w:rsidR="001C203A" w:rsidRDefault="003B5722" w:rsidP="008C7258">
      <w:pPr>
        <w:tabs>
          <w:tab w:val="num" w:pos="1134"/>
        </w:tabs>
        <w:spacing w:after="60"/>
        <w:ind w:left="1134" w:hanging="709"/>
        <w:rPr>
          <w:rFonts w:ascii="Arial" w:hAnsi="Arial" w:cs="Arial"/>
          <w:sz w:val="22"/>
          <w:szCs w:val="22"/>
        </w:rPr>
      </w:pPr>
      <w:r>
        <w:rPr>
          <w:rFonts w:ascii="Arial" w:hAnsi="Arial" w:cs="Arial"/>
          <w:sz w:val="22"/>
          <w:szCs w:val="22"/>
        </w:rPr>
        <w:t>4.3</w:t>
      </w:r>
      <w:r w:rsidR="001C203A">
        <w:rPr>
          <w:rFonts w:ascii="Arial" w:hAnsi="Arial" w:cs="Arial"/>
          <w:sz w:val="22"/>
          <w:szCs w:val="22"/>
        </w:rPr>
        <w:tab/>
      </w:r>
      <w:r w:rsidR="001C203A" w:rsidRPr="001538E7">
        <w:rPr>
          <w:rFonts w:ascii="Arial" w:hAnsi="Arial" w:cs="Arial"/>
          <w:sz w:val="22"/>
          <w:szCs w:val="22"/>
        </w:rPr>
        <w:t>Our own efficiency and effectiveness</w:t>
      </w:r>
      <w:r w:rsidR="001C203A" w:rsidRPr="001C203A">
        <w:rPr>
          <w:rFonts w:ascii="Arial" w:hAnsi="Arial" w:cs="Arial"/>
          <w:i/>
          <w:sz w:val="22"/>
          <w:szCs w:val="22"/>
        </w:rPr>
        <w:t xml:space="preserve"> </w:t>
      </w:r>
      <w:r w:rsidR="003D09AA" w:rsidRPr="003D09AA">
        <w:rPr>
          <w:rFonts w:ascii="Arial" w:hAnsi="Arial" w:cs="Arial"/>
          <w:sz w:val="22"/>
          <w:szCs w:val="22"/>
        </w:rPr>
        <w:t xml:space="preserve">– </w:t>
      </w:r>
      <w:r w:rsidR="001C203A">
        <w:rPr>
          <w:rFonts w:ascii="Arial" w:hAnsi="Arial" w:cs="Arial"/>
          <w:sz w:val="22"/>
          <w:szCs w:val="22"/>
        </w:rPr>
        <w:t>via our c</w:t>
      </w:r>
      <w:r w:rsidR="003D09AA" w:rsidRPr="003D09AA">
        <w:rPr>
          <w:rFonts w:ascii="Arial" w:hAnsi="Arial" w:cs="Arial"/>
          <w:sz w:val="22"/>
          <w:szCs w:val="22"/>
        </w:rPr>
        <w:t xml:space="preserve">orporate health indicators </w:t>
      </w:r>
    </w:p>
    <w:p w14:paraId="153499CA" w14:textId="77777777" w:rsidR="00CD2099" w:rsidRPr="00704F72" w:rsidRDefault="003B5722" w:rsidP="008C7258">
      <w:pPr>
        <w:tabs>
          <w:tab w:val="num" w:pos="1134"/>
        </w:tabs>
        <w:spacing w:after="60"/>
        <w:ind w:left="1134" w:hanging="709"/>
        <w:rPr>
          <w:rFonts w:ascii="Arial" w:hAnsi="Arial" w:cs="Arial"/>
          <w:b/>
          <w:sz w:val="22"/>
          <w:szCs w:val="22"/>
        </w:rPr>
      </w:pPr>
      <w:r>
        <w:rPr>
          <w:rFonts w:ascii="Arial" w:hAnsi="Arial" w:cs="Arial"/>
          <w:sz w:val="22"/>
          <w:szCs w:val="22"/>
        </w:rPr>
        <w:t>4.4</w:t>
      </w:r>
      <w:r w:rsidR="001C203A">
        <w:rPr>
          <w:rFonts w:ascii="Arial" w:hAnsi="Arial" w:cs="Arial"/>
          <w:sz w:val="22"/>
          <w:szCs w:val="22"/>
        </w:rPr>
        <w:tab/>
        <w:t>M</w:t>
      </w:r>
      <w:r w:rsidR="00BE2078" w:rsidRPr="00427623">
        <w:rPr>
          <w:rFonts w:ascii="Arial" w:hAnsi="Arial" w:cs="Arial"/>
          <w:sz w:val="22"/>
          <w:szCs w:val="22"/>
        </w:rPr>
        <w:t>ajor project</w:t>
      </w:r>
      <w:r w:rsidR="00C02ADF" w:rsidRPr="00427623">
        <w:rPr>
          <w:rFonts w:ascii="Arial" w:hAnsi="Arial" w:cs="Arial"/>
          <w:sz w:val="22"/>
          <w:szCs w:val="22"/>
        </w:rPr>
        <w:t>s</w:t>
      </w:r>
      <w:r w:rsidR="00CD2099">
        <w:rPr>
          <w:rFonts w:ascii="Arial" w:hAnsi="Arial" w:cs="Arial"/>
          <w:sz w:val="22"/>
          <w:szCs w:val="22"/>
        </w:rPr>
        <w:t xml:space="preserve"> dashboard</w:t>
      </w:r>
      <w:r w:rsidR="00C1725B">
        <w:rPr>
          <w:rFonts w:ascii="Arial" w:hAnsi="Arial" w:cs="Arial"/>
          <w:sz w:val="22"/>
          <w:szCs w:val="22"/>
        </w:rPr>
        <w:t>.</w:t>
      </w:r>
      <w:r w:rsidR="00C02ADF" w:rsidRPr="00427623">
        <w:rPr>
          <w:rFonts w:ascii="Arial" w:hAnsi="Arial" w:cs="Arial"/>
          <w:sz w:val="22"/>
          <w:szCs w:val="22"/>
        </w:rPr>
        <w:t xml:space="preserve"> </w:t>
      </w:r>
    </w:p>
    <w:p w14:paraId="153499CD" w14:textId="31B543FF" w:rsidR="00427623" w:rsidRPr="006E0ED4" w:rsidRDefault="002B054B" w:rsidP="006E0ED4">
      <w:pPr>
        <w:tabs>
          <w:tab w:val="num" w:pos="1134"/>
        </w:tabs>
        <w:spacing w:after="60"/>
        <w:ind w:left="1134" w:hanging="708"/>
        <w:rPr>
          <w:rFonts w:ascii="Arial" w:hAnsi="Arial" w:cs="Arial"/>
          <w:sz w:val="22"/>
          <w:szCs w:val="22"/>
        </w:rPr>
      </w:pPr>
      <w:r>
        <w:rPr>
          <w:rFonts w:ascii="Arial" w:hAnsi="Arial" w:cs="Arial"/>
          <w:sz w:val="22"/>
          <w:szCs w:val="22"/>
        </w:rPr>
        <w:t>4.5</w:t>
      </w:r>
      <w:r w:rsidR="00E26C16" w:rsidRPr="00E26C16">
        <w:rPr>
          <w:rFonts w:ascii="Arial" w:hAnsi="Arial" w:cs="Arial"/>
          <w:sz w:val="22"/>
          <w:szCs w:val="22"/>
        </w:rPr>
        <w:tab/>
      </w:r>
      <w:r w:rsidR="00E26C16">
        <w:rPr>
          <w:rFonts w:ascii="Arial" w:hAnsi="Arial" w:cs="Arial"/>
          <w:sz w:val="22"/>
          <w:szCs w:val="22"/>
        </w:rPr>
        <w:t>Strategic Risk Register</w:t>
      </w:r>
      <w:r w:rsidR="008C7258">
        <w:rPr>
          <w:rFonts w:ascii="Arial" w:hAnsi="Arial" w:cs="Arial"/>
          <w:sz w:val="22"/>
          <w:szCs w:val="22"/>
        </w:rPr>
        <w:t xml:space="preserve"> </w:t>
      </w:r>
    </w:p>
    <w:p w14:paraId="153499CE" w14:textId="77777777" w:rsidR="00CB2DEB" w:rsidRPr="00B57AED" w:rsidRDefault="00B57AED" w:rsidP="00D06BA7">
      <w:pPr>
        <w:rPr>
          <w:rFonts w:ascii="Arial" w:hAnsi="Arial" w:cs="Arial"/>
          <w:sz w:val="22"/>
          <w:szCs w:val="22"/>
        </w:rPr>
      </w:pPr>
      <w:r w:rsidRPr="00B57AED">
        <w:rPr>
          <w:rFonts w:ascii="Arial" w:hAnsi="Arial" w:cs="Arial"/>
          <w:b/>
          <w:sz w:val="22"/>
          <w:szCs w:val="22"/>
        </w:rPr>
        <w:t>Commentary</w:t>
      </w:r>
    </w:p>
    <w:p w14:paraId="153499CF" w14:textId="77777777" w:rsidR="00CB2DEB" w:rsidRDefault="00CB2DEB" w:rsidP="00CB2DEB">
      <w:pPr>
        <w:pStyle w:val="MainText"/>
        <w:tabs>
          <w:tab w:val="num" w:pos="1920"/>
        </w:tabs>
        <w:spacing w:line="240" w:lineRule="auto"/>
        <w:rPr>
          <w:rFonts w:ascii="Arial" w:hAnsi="Arial" w:cs="Arial"/>
          <w:b/>
          <w:szCs w:val="22"/>
        </w:rPr>
      </w:pPr>
    </w:p>
    <w:p w14:paraId="153499D0" w14:textId="77777777" w:rsidR="00704F72" w:rsidRDefault="00D15747" w:rsidP="008C7258">
      <w:pPr>
        <w:numPr>
          <w:ilvl w:val="0"/>
          <w:numId w:val="22"/>
        </w:numPr>
        <w:tabs>
          <w:tab w:val="clear" w:pos="680"/>
          <w:tab w:val="num" w:pos="426"/>
        </w:tabs>
        <w:spacing w:after="120"/>
        <w:ind w:left="425" w:hanging="425"/>
        <w:rPr>
          <w:rFonts w:ascii="Arial" w:hAnsi="Arial" w:cs="Arial"/>
          <w:sz w:val="22"/>
          <w:szCs w:val="22"/>
        </w:rPr>
      </w:pPr>
      <w:r w:rsidRPr="00D15747">
        <w:rPr>
          <w:rFonts w:ascii="Arial" w:hAnsi="Arial" w:cs="Arial"/>
          <w:sz w:val="22"/>
          <w:szCs w:val="22"/>
        </w:rPr>
        <w:t>Overall</w:t>
      </w:r>
      <w:r>
        <w:rPr>
          <w:rFonts w:ascii="Arial" w:hAnsi="Arial" w:cs="Arial"/>
          <w:sz w:val="22"/>
          <w:szCs w:val="22"/>
        </w:rPr>
        <w:t xml:space="preserve"> performance across all areas is on track</w:t>
      </w:r>
      <w:r w:rsidR="004A0015">
        <w:rPr>
          <w:rFonts w:ascii="Arial" w:hAnsi="Arial" w:cs="Arial"/>
          <w:sz w:val="22"/>
          <w:szCs w:val="22"/>
        </w:rPr>
        <w:t>. Key highlights include:-</w:t>
      </w:r>
    </w:p>
    <w:p w14:paraId="403A2694" w14:textId="431A64A1" w:rsidR="00233D14" w:rsidRDefault="0056132B" w:rsidP="008C7258">
      <w:pPr>
        <w:pStyle w:val="ListParagraph"/>
        <w:numPr>
          <w:ilvl w:val="1"/>
          <w:numId w:val="22"/>
        </w:numPr>
        <w:tabs>
          <w:tab w:val="num" w:pos="1134"/>
        </w:tabs>
        <w:ind w:left="1134" w:hanging="708"/>
        <w:rPr>
          <w:rFonts w:ascii="Arial" w:hAnsi="Arial" w:cs="Arial"/>
          <w:sz w:val="22"/>
          <w:szCs w:val="22"/>
        </w:rPr>
      </w:pPr>
      <w:r>
        <w:rPr>
          <w:rFonts w:ascii="Arial" w:hAnsi="Arial" w:cs="Arial"/>
          <w:sz w:val="22"/>
          <w:szCs w:val="22"/>
        </w:rPr>
        <w:t>A breakdown of the media coverage for each of t</w:t>
      </w:r>
      <w:r w:rsidR="00233D14">
        <w:rPr>
          <w:rFonts w:ascii="Arial" w:hAnsi="Arial" w:cs="Arial"/>
          <w:sz w:val="22"/>
          <w:szCs w:val="22"/>
        </w:rPr>
        <w:t xml:space="preserve">he </w:t>
      </w:r>
      <w:r>
        <w:rPr>
          <w:rFonts w:ascii="Arial" w:hAnsi="Arial" w:cs="Arial"/>
          <w:sz w:val="22"/>
          <w:szCs w:val="22"/>
        </w:rPr>
        <w:t>LGA’s prior</w:t>
      </w:r>
      <w:r w:rsidR="00CF0D33">
        <w:rPr>
          <w:rFonts w:ascii="Arial" w:hAnsi="Arial" w:cs="Arial"/>
          <w:sz w:val="22"/>
          <w:szCs w:val="22"/>
        </w:rPr>
        <w:t>ities has been included</w:t>
      </w:r>
      <w:r>
        <w:rPr>
          <w:rFonts w:ascii="Arial" w:hAnsi="Arial" w:cs="Arial"/>
          <w:sz w:val="22"/>
          <w:szCs w:val="22"/>
        </w:rPr>
        <w:t xml:space="preserve"> to demonstrate the combined work of all teams to achieve the LGA’s vision set out in the Business Plan.</w:t>
      </w:r>
      <w:r w:rsidR="00233D14">
        <w:rPr>
          <w:rFonts w:ascii="Arial" w:hAnsi="Arial" w:cs="Arial"/>
          <w:sz w:val="22"/>
          <w:szCs w:val="22"/>
        </w:rPr>
        <w:t xml:space="preserve"> </w:t>
      </w:r>
    </w:p>
    <w:p w14:paraId="49EBFDDB" w14:textId="77777777" w:rsidR="00CC7B01" w:rsidRDefault="00CC7B01" w:rsidP="00CC7B01">
      <w:pPr>
        <w:pStyle w:val="ListParagraph"/>
        <w:tabs>
          <w:tab w:val="num" w:pos="1249"/>
        </w:tabs>
        <w:ind w:left="1134"/>
        <w:rPr>
          <w:rFonts w:ascii="Arial" w:hAnsi="Arial" w:cs="Arial"/>
          <w:sz w:val="22"/>
          <w:szCs w:val="22"/>
        </w:rPr>
      </w:pPr>
    </w:p>
    <w:p w14:paraId="4DF4CAF1" w14:textId="3C5DEE9D" w:rsidR="00CA5C65" w:rsidRDefault="006A11A3" w:rsidP="008C7258">
      <w:pPr>
        <w:pStyle w:val="ListParagraph"/>
        <w:numPr>
          <w:ilvl w:val="1"/>
          <w:numId w:val="22"/>
        </w:numPr>
        <w:tabs>
          <w:tab w:val="num" w:pos="1134"/>
        </w:tabs>
        <w:ind w:left="1134" w:hanging="708"/>
        <w:rPr>
          <w:rFonts w:ascii="Arial" w:hAnsi="Arial" w:cs="Arial"/>
          <w:sz w:val="22"/>
          <w:szCs w:val="22"/>
        </w:rPr>
      </w:pPr>
      <w:r>
        <w:rPr>
          <w:rFonts w:ascii="Arial" w:hAnsi="Arial" w:cs="Arial"/>
          <w:sz w:val="22"/>
          <w:szCs w:val="22"/>
        </w:rPr>
        <w:t>The table below demonstrates the position of the LGA’s targets in line with the Business Plan. There is currently o</w:t>
      </w:r>
      <w:r w:rsidR="00CA5C65">
        <w:rPr>
          <w:rFonts w:ascii="Arial" w:hAnsi="Arial" w:cs="Arial"/>
          <w:sz w:val="22"/>
          <w:szCs w:val="22"/>
        </w:rPr>
        <w:t>ne target</w:t>
      </w:r>
      <w:r>
        <w:rPr>
          <w:rFonts w:ascii="Arial" w:hAnsi="Arial" w:cs="Arial"/>
          <w:sz w:val="22"/>
          <w:szCs w:val="22"/>
        </w:rPr>
        <w:t xml:space="preserve"> rated as ‘red’. This relates</w:t>
      </w:r>
      <w:r w:rsidR="00CA5C65">
        <w:rPr>
          <w:rFonts w:ascii="Arial" w:hAnsi="Arial" w:cs="Arial"/>
          <w:sz w:val="22"/>
          <w:szCs w:val="22"/>
        </w:rPr>
        <w:t xml:space="preserve"> to the ‘full integration of health and so</w:t>
      </w:r>
      <w:r>
        <w:rPr>
          <w:rFonts w:ascii="Arial" w:hAnsi="Arial" w:cs="Arial"/>
          <w:sz w:val="22"/>
          <w:szCs w:val="22"/>
        </w:rPr>
        <w:t xml:space="preserve">cial care’ (P2), management are aware and </w:t>
      </w:r>
      <w:r w:rsidR="00CA5C65">
        <w:rPr>
          <w:rFonts w:ascii="Arial" w:hAnsi="Arial" w:cs="Arial"/>
          <w:sz w:val="22"/>
          <w:szCs w:val="22"/>
        </w:rPr>
        <w:t xml:space="preserve">work is ongoing to find a way forward with this. </w:t>
      </w:r>
    </w:p>
    <w:p w14:paraId="274A398D" w14:textId="77777777" w:rsidR="006A11A3" w:rsidRPr="006A11A3" w:rsidRDefault="006A11A3" w:rsidP="006A11A3">
      <w:pPr>
        <w:pStyle w:val="ListParagraph"/>
        <w:rPr>
          <w:rFonts w:ascii="Arial" w:hAnsi="Arial" w:cs="Arial"/>
          <w:sz w:val="22"/>
          <w:szCs w:val="22"/>
        </w:rPr>
      </w:pPr>
    </w:p>
    <w:tbl>
      <w:tblPr>
        <w:tblStyle w:val="TableGrid"/>
        <w:tblW w:w="0" w:type="auto"/>
        <w:tblInd w:w="1129" w:type="dxa"/>
        <w:tblLook w:val="04A0" w:firstRow="1" w:lastRow="0" w:firstColumn="1" w:lastColumn="0" w:noHBand="0" w:noVBand="1"/>
      </w:tblPr>
      <w:tblGrid>
        <w:gridCol w:w="1427"/>
        <w:gridCol w:w="1659"/>
        <w:gridCol w:w="1659"/>
        <w:gridCol w:w="1659"/>
      </w:tblGrid>
      <w:tr w:rsidR="006A11A3" w14:paraId="245CEB78" w14:textId="77777777" w:rsidTr="0051141B">
        <w:tc>
          <w:tcPr>
            <w:tcW w:w="1356" w:type="dxa"/>
          </w:tcPr>
          <w:p w14:paraId="46CF0411" w14:textId="77777777" w:rsidR="006A11A3" w:rsidRDefault="006A11A3" w:rsidP="0051141B">
            <w:pPr>
              <w:tabs>
                <w:tab w:val="num" w:pos="1249"/>
              </w:tabs>
              <w:ind w:left="-88" w:hanging="548"/>
              <w:rPr>
                <w:rFonts w:ascii="Arial" w:hAnsi="Arial" w:cs="Arial"/>
                <w:sz w:val="22"/>
                <w:szCs w:val="22"/>
              </w:rPr>
            </w:pPr>
          </w:p>
        </w:tc>
        <w:tc>
          <w:tcPr>
            <w:tcW w:w="1659" w:type="dxa"/>
          </w:tcPr>
          <w:p w14:paraId="0EDBDF1D" w14:textId="77777777" w:rsidR="006A11A3" w:rsidRDefault="006A11A3" w:rsidP="0051141B">
            <w:pPr>
              <w:tabs>
                <w:tab w:val="num" w:pos="1249"/>
              </w:tabs>
              <w:jc w:val="center"/>
              <w:rPr>
                <w:rFonts w:ascii="Arial" w:hAnsi="Arial" w:cs="Arial"/>
                <w:sz w:val="22"/>
                <w:szCs w:val="22"/>
              </w:rPr>
            </w:pPr>
            <w:r>
              <w:rPr>
                <w:rFonts w:ascii="Arial" w:hAnsi="Arial" w:cs="Arial"/>
                <w:sz w:val="22"/>
                <w:szCs w:val="22"/>
              </w:rPr>
              <w:t>Green</w:t>
            </w:r>
          </w:p>
        </w:tc>
        <w:tc>
          <w:tcPr>
            <w:tcW w:w="1659" w:type="dxa"/>
          </w:tcPr>
          <w:p w14:paraId="240B1455" w14:textId="77777777" w:rsidR="006A11A3" w:rsidRDefault="006A11A3" w:rsidP="0051141B">
            <w:pPr>
              <w:tabs>
                <w:tab w:val="num" w:pos="1249"/>
              </w:tabs>
              <w:jc w:val="center"/>
              <w:rPr>
                <w:rFonts w:ascii="Arial" w:hAnsi="Arial" w:cs="Arial"/>
                <w:sz w:val="22"/>
                <w:szCs w:val="22"/>
              </w:rPr>
            </w:pPr>
            <w:r>
              <w:rPr>
                <w:rFonts w:ascii="Arial" w:hAnsi="Arial" w:cs="Arial"/>
                <w:sz w:val="22"/>
                <w:szCs w:val="22"/>
              </w:rPr>
              <w:t>Amber</w:t>
            </w:r>
          </w:p>
        </w:tc>
        <w:tc>
          <w:tcPr>
            <w:tcW w:w="1659" w:type="dxa"/>
          </w:tcPr>
          <w:p w14:paraId="5817CE94" w14:textId="77777777" w:rsidR="006A11A3" w:rsidRDefault="006A11A3" w:rsidP="0051141B">
            <w:pPr>
              <w:tabs>
                <w:tab w:val="num" w:pos="1249"/>
              </w:tabs>
              <w:jc w:val="center"/>
              <w:rPr>
                <w:rFonts w:ascii="Arial" w:hAnsi="Arial" w:cs="Arial"/>
                <w:sz w:val="22"/>
                <w:szCs w:val="22"/>
              </w:rPr>
            </w:pPr>
            <w:r>
              <w:rPr>
                <w:rFonts w:ascii="Arial" w:hAnsi="Arial" w:cs="Arial"/>
                <w:sz w:val="22"/>
                <w:szCs w:val="22"/>
              </w:rPr>
              <w:t>Red</w:t>
            </w:r>
          </w:p>
        </w:tc>
      </w:tr>
      <w:tr w:rsidR="006A11A3" w14:paraId="065356A9" w14:textId="77777777" w:rsidTr="0051141B">
        <w:tc>
          <w:tcPr>
            <w:tcW w:w="1356" w:type="dxa"/>
          </w:tcPr>
          <w:p w14:paraId="1BC21D0F" w14:textId="77777777" w:rsidR="006A11A3" w:rsidRDefault="006A11A3" w:rsidP="0051141B">
            <w:pPr>
              <w:tabs>
                <w:tab w:val="num" w:pos="1249"/>
              </w:tabs>
              <w:rPr>
                <w:rFonts w:ascii="Arial" w:hAnsi="Arial" w:cs="Arial"/>
                <w:sz w:val="22"/>
                <w:szCs w:val="22"/>
              </w:rPr>
            </w:pPr>
            <w:r>
              <w:rPr>
                <w:rFonts w:ascii="Arial" w:hAnsi="Arial" w:cs="Arial"/>
                <w:sz w:val="22"/>
                <w:szCs w:val="22"/>
              </w:rPr>
              <w:t>Deliverables</w:t>
            </w:r>
          </w:p>
        </w:tc>
        <w:tc>
          <w:tcPr>
            <w:tcW w:w="1659" w:type="dxa"/>
          </w:tcPr>
          <w:p w14:paraId="00E1805A" w14:textId="0CC6F8B6" w:rsidR="006A11A3" w:rsidRDefault="006A11A3" w:rsidP="0051141B">
            <w:pPr>
              <w:tabs>
                <w:tab w:val="num" w:pos="1249"/>
              </w:tabs>
              <w:jc w:val="center"/>
              <w:rPr>
                <w:rFonts w:ascii="Arial" w:hAnsi="Arial" w:cs="Arial"/>
                <w:sz w:val="22"/>
                <w:szCs w:val="22"/>
              </w:rPr>
            </w:pPr>
            <w:r>
              <w:rPr>
                <w:rFonts w:ascii="Arial" w:hAnsi="Arial" w:cs="Arial"/>
                <w:sz w:val="22"/>
                <w:szCs w:val="22"/>
              </w:rPr>
              <w:t>16</w:t>
            </w:r>
          </w:p>
        </w:tc>
        <w:tc>
          <w:tcPr>
            <w:tcW w:w="1659" w:type="dxa"/>
          </w:tcPr>
          <w:p w14:paraId="66059D23" w14:textId="5BD8F26F" w:rsidR="006A11A3" w:rsidRDefault="006A11A3" w:rsidP="0051141B">
            <w:pPr>
              <w:tabs>
                <w:tab w:val="num" w:pos="1249"/>
              </w:tabs>
              <w:jc w:val="center"/>
              <w:rPr>
                <w:rFonts w:ascii="Arial" w:hAnsi="Arial" w:cs="Arial"/>
                <w:sz w:val="22"/>
                <w:szCs w:val="22"/>
              </w:rPr>
            </w:pPr>
            <w:r>
              <w:rPr>
                <w:rFonts w:ascii="Arial" w:hAnsi="Arial" w:cs="Arial"/>
                <w:sz w:val="22"/>
                <w:szCs w:val="22"/>
              </w:rPr>
              <w:t>7</w:t>
            </w:r>
          </w:p>
        </w:tc>
        <w:tc>
          <w:tcPr>
            <w:tcW w:w="1659" w:type="dxa"/>
          </w:tcPr>
          <w:p w14:paraId="006A3A83" w14:textId="2D89EFE7" w:rsidR="006A11A3" w:rsidRDefault="006A11A3" w:rsidP="0051141B">
            <w:pPr>
              <w:tabs>
                <w:tab w:val="num" w:pos="1249"/>
              </w:tabs>
              <w:jc w:val="center"/>
              <w:rPr>
                <w:rFonts w:ascii="Arial" w:hAnsi="Arial" w:cs="Arial"/>
                <w:sz w:val="22"/>
                <w:szCs w:val="22"/>
              </w:rPr>
            </w:pPr>
            <w:r>
              <w:rPr>
                <w:rFonts w:ascii="Arial" w:hAnsi="Arial" w:cs="Arial"/>
                <w:sz w:val="22"/>
                <w:szCs w:val="22"/>
              </w:rPr>
              <w:t>1</w:t>
            </w:r>
          </w:p>
        </w:tc>
      </w:tr>
    </w:tbl>
    <w:p w14:paraId="266E1EED" w14:textId="77777777" w:rsidR="00CC7B01" w:rsidRPr="0051141B" w:rsidRDefault="00CC7B01" w:rsidP="0051141B">
      <w:pPr>
        <w:rPr>
          <w:rFonts w:ascii="Arial" w:hAnsi="Arial" w:cs="Arial"/>
          <w:sz w:val="22"/>
          <w:szCs w:val="22"/>
        </w:rPr>
      </w:pPr>
    </w:p>
    <w:p w14:paraId="1415E13A" w14:textId="0FB16171" w:rsidR="00CC7B01" w:rsidRDefault="00CC7B01" w:rsidP="008C7258">
      <w:pPr>
        <w:pStyle w:val="ListParagraph"/>
        <w:numPr>
          <w:ilvl w:val="1"/>
          <w:numId w:val="22"/>
        </w:numPr>
        <w:tabs>
          <w:tab w:val="num" w:pos="1134"/>
        </w:tabs>
        <w:ind w:left="1134" w:hanging="708"/>
        <w:rPr>
          <w:rFonts w:ascii="Arial" w:hAnsi="Arial" w:cs="Arial"/>
          <w:sz w:val="22"/>
          <w:szCs w:val="22"/>
        </w:rPr>
      </w:pPr>
      <w:r>
        <w:rPr>
          <w:rFonts w:ascii="Arial" w:hAnsi="Arial" w:cs="Arial"/>
          <w:sz w:val="22"/>
          <w:szCs w:val="22"/>
        </w:rPr>
        <w:t>Regarding the DCLG Memorandum of Understanding performance reporting, overall good progress has been made in the first half of the year, all targets are on plan to be delivered. The table below summarises the position on the deliverables contained in the MoU:</w:t>
      </w:r>
    </w:p>
    <w:p w14:paraId="1BD7113E" w14:textId="77777777" w:rsidR="00CC7B01" w:rsidRPr="00CC7B01" w:rsidRDefault="00CC7B01" w:rsidP="00CC7B01">
      <w:pPr>
        <w:pStyle w:val="ListParagraph"/>
        <w:rPr>
          <w:rFonts w:ascii="Arial" w:hAnsi="Arial" w:cs="Arial"/>
          <w:sz w:val="22"/>
          <w:szCs w:val="22"/>
        </w:rPr>
      </w:pPr>
    </w:p>
    <w:tbl>
      <w:tblPr>
        <w:tblStyle w:val="TableGrid"/>
        <w:tblW w:w="0" w:type="auto"/>
        <w:tblInd w:w="1129" w:type="dxa"/>
        <w:tblLook w:val="04A0" w:firstRow="1" w:lastRow="0" w:firstColumn="1" w:lastColumn="0" w:noHBand="0" w:noVBand="1"/>
      </w:tblPr>
      <w:tblGrid>
        <w:gridCol w:w="1427"/>
        <w:gridCol w:w="1659"/>
        <w:gridCol w:w="1659"/>
        <w:gridCol w:w="1659"/>
      </w:tblGrid>
      <w:tr w:rsidR="00CC7B01" w14:paraId="6C94CC40" w14:textId="77777777" w:rsidTr="006A11A3">
        <w:tc>
          <w:tcPr>
            <w:tcW w:w="1356" w:type="dxa"/>
          </w:tcPr>
          <w:p w14:paraId="7E96C2FE" w14:textId="77777777" w:rsidR="00CC7B01" w:rsidRDefault="00CC7B01" w:rsidP="00CC7B01">
            <w:pPr>
              <w:tabs>
                <w:tab w:val="num" w:pos="1249"/>
              </w:tabs>
              <w:ind w:left="-88" w:hanging="548"/>
              <w:rPr>
                <w:rFonts w:ascii="Arial" w:hAnsi="Arial" w:cs="Arial"/>
                <w:sz w:val="22"/>
                <w:szCs w:val="22"/>
              </w:rPr>
            </w:pPr>
          </w:p>
        </w:tc>
        <w:tc>
          <w:tcPr>
            <w:tcW w:w="1659" w:type="dxa"/>
          </w:tcPr>
          <w:p w14:paraId="78C3866D" w14:textId="70474390" w:rsidR="00CC7B01" w:rsidRDefault="00CC7B01" w:rsidP="006A11A3">
            <w:pPr>
              <w:tabs>
                <w:tab w:val="num" w:pos="1249"/>
              </w:tabs>
              <w:jc w:val="center"/>
              <w:rPr>
                <w:rFonts w:ascii="Arial" w:hAnsi="Arial" w:cs="Arial"/>
                <w:sz w:val="22"/>
                <w:szCs w:val="22"/>
              </w:rPr>
            </w:pPr>
            <w:r>
              <w:rPr>
                <w:rFonts w:ascii="Arial" w:hAnsi="Arial" w:cs="Arial"/>
                <w:sz w:val="22"/>
                <w:szCs w:val="22"/>
              </w:rPr>
              <w:t>Green</w:t>
            </w:r>
          </w:p>
        </w:tc>
        <w:tc>
          <w:tcPr>
            <w:tcW w:w="1659" w:type="dxa"/>
          </w:tcPr>
          <w:p w14:paraId="0009030E" w14:textId="435C675F" w:rsidR="00CC7B01" w:rsidRDefault="00CC7B01" w:rsidP="006A11A3">
            <w:pPr>
              <w:tabs>
                <w:tab w:val="num" w:pos="1249"/>
              </w:tabs>
              <w:jc w:val="center"/>
              <w:rPr>
                <w:rFonts w:ascii="Arial" w:hAnsi="Arial" w:cs="Arial"/>
                <w:sz w:val="22"/>
                <w:szCs w:val="22"/>
              </w:rPr>
            </w:pPr>
            <w:r>
              <w:rPr>
                <w:rFonts w:ascii="Arial" w:hAnsi="Arial" w:cs="Arial"/>
                <w:sz w:val="22"/>
                <w:szCs w:val="22"/>
              </w:rPr>
              <w:t>Amber</w:t>
            </w:r>
          </w:p>
        </w:tc>
        <w:tc>
          <w:tcPr>
            <w:tcW w:w="1659" w:type="dxa"/>
          </w:tcPr>
          <w:p w14:paraId="74C6E283" w14:textId="575E37F1" w:rsidR="00CC7B01" w:rsidRDefault="00CC7B01" w:rsidP="006A11A3">
            <w:pPr>
              <w:tabs>
                <w:tab w:val="num" w:pos="1249"/>
              </w:tabs>
              <w:jc w:val="center"/>
              <w:rPr>
                <w:rFonts w:ascii="Arial" w:hAnsi="Arial" w:cs="Arial"/>
                <w:sz w:val="22"/>
                <w:szCs w:val="22"/>
              </w:rPr>
            </w:pPr>
            <w:r>
              <w:rPr>
                <w:rFonts w:ascii="Arial" w:hAnsi="Arial" w:cs="Arial"/>
                <w:sz w:val="22"/>
                <w:szCs w:val="22"/>
              </w:rPr>
              <w:t>Red</w:t>
            </w:r>
          </w:p>
        </w:tc>
      </w:tr>
      <w:tr w:rsidR="00CC7B01" w14:paraId="6B489BF9" w14:textId="77777777" w:rsidTr="006A11A3">
        <w:tc>
          <w:tcPr>
            <w:tcW w:w="1356" w:type="dxa"/>
          </w:tcPr>
          <w:p w14:paraId="236CB2C8" w14:textId="5494FBAE" w:rsidR="00CC7B01" w:rsidRDefault="00CC7B01" w:rsidP="00CC7B01">
            <w:pPr>
              <w:tabs>
                <w:tab w:val="num" w:pos="1249"/>
              </w:tabs>
              <w:rPr>
                <w:rFonts w:ascii="Arial" w:hAnsi="Arial" w:cs="Arial"/>
                <w:sz w:val="22"/>
                <w:szCs w:val="22"/>
              </w:rPr>
            </w:pPr>
            <w:r>
              <w:rPr>
                <w:rFonts w:ascii="Arial" w:hAnsi="Arial" w:cs="Arial"/>
                <w:sz w:val="22"/>
                <w:szCs w:val="22"/>
              </w:rPr>
              <w:t>Deliverables</w:t>
            </w:r>
          </w:p>
        </w:tc>
        <w:tc>
          <w:tcPr>
            <w:tcW w:w="1659" w:type="dxa"/>
          </w:tcPr>
          <w:p w14:paraId="1C135C21" w14:textId="728827F6" w:rsidR="00CC7B01" w:rsidRDefault="00CC7B01" w:rsidP="006A11A3">
            <w:pPr>
              <w:tabs>
                <w:tab w:val="num" w:pos="1249"/>
              </w:tabs>
              <w:jc w:val="center"/>
              <w:rPr>
                <w:rFonts w:ascii="Arial" w:hAnsi="Arial" w:cs="Arial"/>
                <w:sz w:val="22"/>
                <w:szCs w:val="22"/>
              </w:rPr>
            </w:pPr>
            <w:r>
              <w:rPr>
                <w:rFonts w:ascii="Arial" w:hAnsi="Arial" w:cs="Arial"/>
                <w:sz w:val="22"/>
                <w:szCs w:val="22"/>
              </w:rPr>
              <w:t>18</w:t>
            </w:r>
          </w:p>
        </w:tc>
        <w:tc>
          <w:tcPr>
            <w:tcW w:w="1659" w:type="dxa"/>
          </w:tcPr>
          <w:p w14:paraId="2DC21DAE" w14:textId="6C71FBD4" w:rsidR="00CC7B01" w:rsidRDefault="00CC7B01" w:rsidP="006A11A3">
            <w:pPr>
              <w:tabs>
                <w:tab w:val="num" w:pos="1249"/>
              </w:tabs>
              <w:jc w:val="center"/>
              <w:rPr>
                <w:rFonts w:ascii="Arial" w:hAnsi="Arial" w:cs="Arial"/>
                <w:sz w:val="22"/>
                <w:szCs w:val="22"/>
              </w:rPr>
            </w:pPr>
            <w:r>
              <w:rPr>
                <w:rFonts w:ascii="Arial" w:hAnsi="Arial" w:cs="Arial"/>
                <w:sz w:val="22"/>
                <w:szCs w:val="22"/>
              </w:rPr>
              <w:t>43</w:t>
            </w:r>
          </w:p>
        </w:tc>
        <w:tc>
          <w:tcPr>
            <w:tcW w:w="1659" w:type="dxa"/>
          </w:tcPr>
          <w:p w14:paraId="0AF95ED3" w14:textId="6BD6F0C5" w:rsidR="00CC7B01" w:rsidRDefault="00CC7B01" w:rsidP="006A11A3">
            <w:pPr>
              <w:tabs>
                <w:tab w:val="num" w:pos="1249"/>
              </w:tabs>
              <w:jc w:val="center"/>
              <w:rPr>
                <w:rFonts w:ascii="Arial" w:hAnsi="Arial" w:cs="Arial"/>
                <w:sz w:val="22"/>
                <w:szCs w:val="22"/>
              </w:rPr>
            </w:pPr>
            <w:r>
              <w:rPr>
                <w:rFonts w:ascii="Arial" w:hAnsi="Arial" w:cs="Arial"/>
                <w:sz w:val="22"/>
                <w:szCs w:val="22"/>
              </w:rPr>
              <w:t>0</w:t>
            </w:r>
          </w:p>
        </w:tc>
      </w:tr>
    </w:tbl>
    <w:p w14:paraId="1FE89CC3" w14:textId="77777777" w:rsidR="00CC7B01" w:rsidRPr="0051141B" w:rsidRDefault="00CC7B01" w:rsidP="0051141B">
      <w:pPr>
        <w:tabs>
          <w:tab w:val="num" w:pos="1249"/>
        </w:tabs>
        <w:rPr>
          <w:rFonts w:ascii="Arial" w:hAnsi="Arial" w:cs="Arial"/>
          <w:sz w:val="22"/>
          <w:szCs w:val="22"/>
        </w:rPr>
      </w:pPr>
    </w:p>
    <w:p w14:paraId="153499D1" w14:textId="7FD3EA05" w:rsidR="008C7258" w:rsidRDefault="00B42AF8" w:rsidP="008C7258">
      <w:pPr>
        <w:pStyle w:val="ListParagraph"/>
        <w:numPr>
          <w:ilvl w:val="1"/>
          <w:numId w:val="22"/>
        </w:numPr>
        <w:tabs>
          <w:tab w:val="num" w:pos="1134"/>
        </w:tabs>
        <w:ind w:left="1134" w:hanging="708"/>
        <w:rPr>
          <w:rFonts w:ascii="Arial" w:hAnsi="Arial" w:cs="Arial"/>
          <w:sz w:val="22"/>
          <w:szCs w:val="22"/>
        </w:rPr>
      </w:pPr>
      <w:r>
        <w:rPr>
          <w:rFonts w:ascii="Arial" w:hAnsi="Arial" w:cs="Arial"/>
          <w:sz w:val="22"/>
          <w:szCs w:val="22"/>
        </w:rPr>
        <w:t xml:space="preserve">There are currently two major projects at the LGA. Both of which relate to the refurbishment of LGH and Layden House. </w:t>
      </w:r>
      <w:r w:rsidR="003520D2">
        <w:rPr>
          <w:rFonts w:ascii="Arial" w:hAnsi="Arial" w:cs="Arial"/>
          <w:sz w:val="22"/>
          <w:szCs w:val="22"/>
        </w:rPr>
        <w:t>Infor</w:t>
      </w:r>
      <w:r>
        <w:rPr>
          <w:rFonts w:ascii="Arial" w:hAnsi="Arial" w:cs="Arial"/>
          <w:sz w:val="22"/>
          <w:szCs w:val="22"/>
        </w:rPr>
        <w:t xml:space="preserve">mation on these </w:t>
      </w:r>
      <w:r w:rsidR="000A60C7">
        <w:rPr>
          <w:rFonts w:ascii="Arial" w:hAnsi="Arial" w:cs="Arial"/>
          <w:sz w:val="22"/>
          <w:szCs w:val="22"/>
        </w:rPr>
        <w:t>major</w:t>
      </w:r>
      <w:r w:rsidR="003520D2">
        <w:rPr>
          <w:rFonts w:ascii="Arial" w:hAnsi="Arial" w:cs="Arial"/>
          <w:sz w:val="22"/>
          <w:szCs w:val="22"/>
        </w:rPr>
        <w:t xml:space="preserve"> projects can be found in </w:t>
      </w:r>
      <w:r w:rsidR="004B7772">
        <w:rPr>
          <w:rFonts w:ascii="Arial" w:hAnsi="Arial" w:cs="Arial"/>
          <w:sz w:val="22"/>
          <w:szCs w:val="22"/>
        </w:rPr>
        <w:t>the appendices.</w:t>
      </w:r>
    </w:p>
    <w:p w14:paraId="010FD8F2" w14:textId="77777777" w:rsidR="00CC7B01" w:rsidRDefault="00CC7B01" w:rsidP="00CC7B01">
      <w:pPr>
        <w:pStyle w:val="ListParagraph"/>
        <w:tabs>
          <w:tab w:val="num" w:pos="1249"/>
        </w:tabs>
        <w:ind w:left="1134"/>
        <w:rPr>
          <w:rFonts w:ascii="Arial" w:hAnsi="Arial" w:cs="Arial"/>
          <w:sz w:val="22"/>
          <w:szCs w:val="22"/>
        </w:rPr>
      </w:pPr>
    </w:p>
    <w:p w14:paraId="237A8074" w14:textId="38F121E5" w:rsidR="00CC7B01" w:rsidRPr="00CC7B01" w:rsidRDefault="00BB7C92" w:rsidP="00CC7B01">
      <w:pPr>
        <w:pStyle w:val="ListParagraph"/>
        <w:numPr>
          <w:ilvl w:val="1"/>
          <w:numId w:val="22"/>
        </w:numPr>
        <w:tabs>
          <w:tab w:val="num" w:pos="1134"/>
        </w:tabs>
        <w:ind w:left="1134" w:hanging="708"/>
        <w:rPr>
          <w:rFonts w:ascii="Arial" w:hAnsi="Arial" w:cs="Arial"/>
          <w:b/>
          <w:sz w:val="22"/>
          <w:szCs w:val="22"/>
        </w:rPr>
      </w:pPr>
      <w:r w:rsidRPr="00BB7C92">
        <w:rPr>
          <w:rFonts w:ascii="Arial" w:hAnsi="Arial" w:cs="Arial"/>
          <w:sz w:val="22"/>
          <w:szCs w:val="22"/>
        </w:rPr>
        <w:t xml:space="preserve">The gender profile of the LGA had been included in the “our efficiency and effectiveness” section along with a comparative figure for the whole of local government. These figures demonstrate that the LGA’s gender </w:t>
      </w:r>
      <w:r w:rsidR="00233D14">
        <w:rPr>
          <w:rFonts w:ascii="Arial" w:hAnsi="Arial" w:cs="Arial"/>
          <w:sz w:val="22"/>
          <w:szCs w:val="22"/>
        </w:rPr>
        <w:t xml:space="preserve">profile is more equally </w:t>
      </w:r>
      <w:r w:rsidRPr="00BB7C92">
        <w:rPr>
          <w:rFonts w:ascii="Arial" w:hAnsi="Arial" w:cs="Arial"/>
          <w:sz w:val="22"/>
          <w:szCs w:val="22"/>
        </w:rPr>
        <w:t xml:space="preserve">split </w:t>
      </w:r>
      <w:r w:rsidR="00233D14">
        <w:rPr>
          <w:rFonts w:ascii="Arial" w:hAnsi="Arial" w:cs="Arial"/>
          <w:sz w:val="22"/>
          <w:szCs w:val="22"/>
        </w:rPr>
        <w:t>than the average percentage for local government.</w:t>
      </w:r>
    </w:p>
    <w:p w14:paraId="28A02A10" w14:textId="77777777" w:rsidR="00CC7B01" w:rsidRPr="00BB7C92" w:rsidRDefault="00CC7B01" w:rsidP="00CC7B01">
      <w:pPr>
        <w:pStyle w:val="ListParagraph"/>
        <w:tabs>
          <w:tab w:val="num" w:pos="1249"/>
        </w:tabs>
        <w:ind w:left="1134"/>
        <w:rPr>
          <w:rFonts w:ascii="Arial" w:hAnsi="Arial" w:cs="Arial"/>
          <w:b/>
          <w:sz w:val="22"/>
          <w:szCs w:val="22"/>
        </w:rPr>
      </w:pPr>
    </w:p>
    <w:p w14:paraId="05566D02" w14:textId="77777777" w:rsidR="00CF0D33" w:rsidRPr="006E0ED4" w:rsidRDefault="00CF0D33" w:rsidP="00CF0D33">
      <w:pPr>
        <w:pStyle w:val="ListParagraph"/>
        <w:numPr>
          <w:ilvl w:val="1"/>
          <w:numId w:val="22"/>
        </w:numPr>
        <w:tabs>
          <w:tab w:val="num" w:pos="1134"/>
        </w:tabs>
        <w:ind w:left="1134" w:hanging="708"/>
        <w:rPr>
          <w:rFonts w:ascii="Arial" w:hAnsi="Arial" w:cs="Arial"/>
          <w:i/>
          <w:sz w:val="22"/>
          <w:szCs w:val="22"/>
        </w:rPr>
      </w:pPr>
      <w:r w:rsidRPr="00BB7C92">
        <w:rPr>
          <w:rFonts w:ascii="Arial" w:hAnsi="Arial" w:cs="Arial"/>
          <w:sz w:val="22"/>
          <w:szCs w:val="22"/>
        </w:rPr>
        <w:t>As per a recommendation from the recent counter fraud health check audit, the following risk has been proposed for inclusion in the LGA’s risk register, the likelihood of this is low and rated as a 2, however the impact would be 5 making it a yellow risk requiring regular monitoring:</w:t>
      </w:r>
    </w:p>
    <w:p w14:paraId="11FE5BCA" w14:textId="77777777" w:rsidR="006E0ED4" w:rsidRPr="006E0ED4" w:rsidRDefault="006E0ED4" w:rsidP="006E0ED4">
      <w:pPr>
        <w:tabs>
          <w:tab w:val="num" w:pos="1249"/>
        </w:tabs>
        <w:rPr>
          <w:rFonts w:ascii="Arial" w:hAnsi="Arial" w:cs="Arial"/>
          <w:i/>
          <w:sz w:val="22"/>
          <w:szCs w:val="22"/>
        </w:rPr>
      </w:pPr>
    </w:p>
    <w:p w14:paraId="4BAB6A55" w14:textId="4391C8CF" w:rsidR="00B36FE1" w:rsidRPr="006E0ED4" w:rsidRDefault="00CF0D33" w:rsidP="006E0ED4">
      <w:pPr>
        <w:pStyle w:val="ListParagraph"/>
        <w:numPr>
          <w:ilvl w:val="2"/>
          <w:numId w:val="41"/>
        </w:numPr>
        <w:ind w:left="1843" w:hanging="709"/>
        <w:rPr>
          <w:rFonts w:ascii="Arial" w:hAnsi="Arial" w:cs="Arial"/>
          <w:i/>
          <w:sz w:val="22"/>
          <w:szCs w:val="22"/>
        </w:rPr>
      </w:pPr>
      <w:r w:rsidRPr="006E0ED4">
        <w:rPr>
          <w:rFonts w:ascii="Arial" w:hAnsi="Arial" w:cs="Arial"/>
          <w:sz w:val="22"/>
          <w:szCs w:val="22"/>
        </w:rPr>
        <w:t>The LGA could suffer financial and/or reputational loss as a result of fraud, through ineffective and/or personnel controls.</w:t>
      </w:r>
    </w:p>
    <w:sectPr w:rsidR="00B36FE1" w:rsidRPr="006E0ED4">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661D8" w14:textId="77777777" w:rsidR="0051141B" w:rsidRDefault="0051141B">
      <w:r>
        <w:separator/>
      </w:r>
    </w:p>
  </w:endnote>
  <w:endnote w:type="continuationSeparator" w:id="0">
    <w:p w14:paraId="5D31F27B" w14:textId="77777777" w:rsidR="0051141B" w:rsidRDefault="0051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Raavi"/>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AB77D" w14:textId="77777777" w:rsidR="0051141B" w:rsidRDefault="0051141B">
      <w:r>
        <w:separator/>
      </w:r>
    </w:p>
  </w:footnote>
  <w:footnote w:type="continuationSeparator" w:id="0">
    <w:p w14:paraId="60EDBE8E" w14:textId="77777777" w:rsidR="0051141B" w:rsidRDefault="00511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ook w:val="01E0" w:firstRow="1" w:lastRow="1" w:firstColumn="1" w:lastColumn="1" w:noHBand="0" w:noVBand="0"/>
    </w:tblPr>
    <w:tblGrid>
      <w:gridCol w:w="5284"/>
      <w:gridCol w:w="3896"/>
    </w:tblGrid>
    <w:tr w:rsidR="0051141B" w:rsidRPr="0066328A" w14:paraId="153499D9" w14:textId="77777777" w:rsidTr="004571B9">
      <w:tc>
        <w:tcPr>
          <w:tcW w:w="5284" w:type="dxa"/>
          <w:vMerge w:val="restart"/>
          <w:shd w:val="clear" w:color="auto" w:fill="auto"/>
        </w:tcPr>
        <w:p w14:paraId="153499D7" w14:textId="77777777" w:rsidR="0051141B" w:rsidRPr="0066328A" w:rsidRDefault="0051141B" w:rsidP="00706136">
          <w:pPr>
            <w:tabs>
              <w:tab w:val="center" w:pos="4153"/>
              <w:tab w:val="right" w:pos="8306"/>
            </w:tabs>
            <w:rPr>
              <w:rFonts w:ascii="Frutiger 45 Light" w:hAnsi="Frutiger 45 Light"/>
              <w:sz w:val="28"/>
              <w:szCs w:val="28"/>
            </w:rPr>
          </w:pPr>
          <w:r>
            <w:rPr>
              <w:rFonts w:ascii="Arial" w:hAnsi="Arial" w:cs="Arial"/>
              <w:noProof/>
              <w:sz w:val="44"/>
              <w:szCs w:val="44"/>
            </w:rPr>
            <w:drawing>
              <wp:inline distT="0" distB="0" distL="0" distR="0" wp14:anchorId="153499E1" wp14:editId="153499E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896" w:type="dxa"/>
          <w:shd w:val="clear" w:color="auto" w:fill="auto"/>
          <w:vAlign w:val="center"/>
        </w:tcPr>
        <w:p w14:paraId="153499D8" w14:textId="462B7521" w:rsidR="0051141B" w:rsidRPr="006E0ED4" w:rsidRDefault="00F30AFD" w:rsidP="00FD25A9">
          <w:pPr>
            <w:tabs>
              <w:tab w:val="center" w:pos="4153"/>
              <w:tab w:val="right" w:pos="8306"/>
            </w:tabs>
            <w:rPr>
              <w:rFonts w:ascii="Arial" w:hAnsi="Arial" w:cs="Arial"/>
              <w:b/>
              <w:sz w:val="22"/>
              <w:szCs w:val="22"/>
            </w:rPr>
          </w:pPr>
          <w:r>
            <w:rPr>
              <w:rFonts w:ascii="Arial" w:hAnsi="Arial" w:cs="Arial"/>
              <w:b/>
              <w:sz w:val="22"/>
              <w:szCs w:val="22"/>
            </w:rPr>
            <w:t xml:space="preserve">LGA </w:t>
          </w:r>
          <w:r w:rsidR="00FD25A9" w:rsidRPr="006E0ED4">
            <w:rPr>
              <w:rFonts w:ascii="Arial" w:hAnsi="Arial" w:cs="Arial"/>
              <w:b/>
              <w:sz w:val="22"/>
              <w:szCs w:val="22"/>
            </w:rPr>
            <w:t>Leadership Board</w:t>
          </w:r>
        </w:p>
      </w:tc>
    </w:tr>
    <w:tr w:rsidR="0051141B" w:rsidRPr="0066328A" w14:paraId="153499DC" w14:textId="77777777" w:rsidTr="004571B9">
      <w:trPr>
        <w:trHeight w:val="450"/>
      </w:trPr>
      <w:tc>
        <w:tcPr>
          <w:tcW w:w="5284" w:type="dxa"/>
          <w:vMerge/>
          <w:shd w:val="clear" w:color="auto" w:fill="auto"/>
        </w:tcPr>
        <w:p w14:paraId="153499DA" w14:textId="77777777" w:rsidR="0051141B" w:rsidRPr="0066328A" w:rsidRDefault="0051141B" w:rsidP="00706136">
          <w:pPr>
            <w:tabs>
              <w:tab w:val="center" w:pos="4153"/>
              <w:tab w:val="right" w:pos="8306"/>
            </w:tabs>
            <w:rPr>
              <w:rFonts w:ascii="Frutiger 45 Light" w:hAnsi="Frutiger 45 Light"/>
              <w:sz w:val="22"/>
              <w:szCs w:val="20"/>
            </w:rPr>
          </w:pPr>
        </w:p>
      </w:tc>
      <w:tc>
        <w:tcPr>
          <w:tcW w:w="3896" w:type="dxa"/>
          <w:shd w:val="clear" w:color="auto" w:fill="auto"/>
          <w:vAlign w:val="center"/>
        </w:tcPr>
        <w:p w14:paraId="153499DB" w14:textId="06449174" w:rsidR="0051141B" w:rsidRPr="006E0ED4" w:rsidRDefault="00FD25A9" w:rsidP="00FD25A9">
          <w:pPr>
            <w:tabs>
              <w:tab w:val="center" w:pos="4153"/>
              <w:tab w:val="right" w:pos="8306"/>
            </w:tabs>
            <w:spacing w:before="60"/>
            <w:rPr>
              <w:rFonts w:ascii="Arial" w:hAnsi="Arial" w:cs="Arial"/>
              <w:sz w:val="22"/>
              <w:szCs w:val="22"/>
            </w:rPr>
          </w:pPr>
          <w:r w:rsidRPr="006E0ED4">
            <w:rPr>
              <w:rFonts w:ascii="Arial" w:hAnsi="Arial" w:cs="Arial"/>
              <w:sz w:val="22"/>
              <w:szCs w:val="22"/>
            </w:rPr>
            <w:t>7 December</w:t>
          </w:r>
          <w:r w:rsidR="0051141B" w:rsidRPr="006E0ED4">
            <w:rPr>
              <w:rFonts w:ascii="Arial" w:hAnsi="Arial" w:cs="Arial"/>
              <w:sz w:val="22"/>
              <w:szCs w:val="22"/>
            </w:rPr>
            <w:t xml:space="preserve"> 2017</w:t>
          </w:r>
        </w:p>
      </w:tc>
    </w:tr>
    <w:tr w:rsidR="0051141B" w:rsidRPr="0066328A" w14:paraId="153499DF" w14:textId="77777777" w:rsidTr="004571B9">
      <w:trPr>
        <w:trHeight w:val="450"/>
      </w:trPr>
      <w:tc>
        <w:tcPr>
          <w:tcW w:w="5284" w:type="dxa"/>
          <w:vMerge/>
          <w:shd w:val="clear" w:color="auto" w:fill="auto"/>
        </w:tcPr>
        <w:p w14:paraId="153499DD" w14:textId="77777777" w:rsidR="0051141B" w:rsidRPr="0066328A" w:rsidRDefault="0051141B" w:rsidP="00706136">
          <w:pPr>
            <w:tabs>
              <w:tab w:val="center" w:pos="4153"/>
              <w:tab w:val="right" w:pos="8306"/>
            </w:tabs>
            <w:rPr>
              <w:rFonts w:ascii="Frutiger 45 Light" w:hAnsi="Frutiger 45 Light"/>
              <w:sz w:val="22"/>
              <w:szCs w:val="20"/>
            </w:rPr>
          </w:pPr>
        </w:p>
      </w:tc>
      <w:tc>
        <w:tcPr>
          <w:tcW w:w="3896" w:type="dxa"/>
          <w:shd w:val="clear" w:color="auto" w:fill="auto"/>
          <w:vAlign w:val="center"/>
        </w:tcPr>
        <w:p w14:paraId="153499DE" w14:textId="3A250854" w:rsidR="0051141B" w:rsidRPr="0066328A" w:rsidRDefault="0051141B" w:rsidP="00706136">
          <w:pPr>
            <w:tabs>
              <w:tab w:val="center" w:pos="4153"/>
              <w:tab w:val="right" w:pos="8306"/>
            </w:tabs>
            <w:spacing w:before="60"/>
            <w:rPr>
              <w:rFonts w:ascii="Arial" w:hAnsi="Arial" w:cs="Arial"/>
              <w:b/>
            </w:rPr>
          </w:pPr>
        </w:p>
      </w:tc>
    </w:tr>
  </w:tbl>
  <w:p w14:paraId="153499E0" w14:textId="77777777" w:rsidR="0051141B" w:rsidRDefault="00511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4A1C"/>
    <w:multiLevelType w:val="multilevel"/>
    <w:tmpl w:val="D1241032"/>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F97E4B"/>
    <w:multiLevelType w:val="multilevel"/>
    <w:tmpl w:val="BDD04D38"/>
    <w:lvl w:ilvl="0">
      <w:start w:val="9"/>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2" w15:restartNumberingAfterBreak="0">
    <w:nsid w:val="087B0157"/>
    <w:multiLevelType w:val="hybridMultilevel"/>
    <w:tmpl w:val="1E5ACA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3D2806"/>
    <w:multiLevelType w:val="hybridMultilevel"/>
    <w:tmpl w:val="C5D87A6E"/>
    <w:lvl w:ilvl="0" w:tplc="3152A004">
      <w:start w:val="1"/>
      <w:numFmt w:val="bullet"/>
      <w:lvlText w:val=""/>
      <w:lvlJc w:val="left"/>
      <w:pPr>
        <w:ind w:left="1080" w:hanging="360"/>
      </w:pPr>
      <w:rPr>
        <w:rFonts w:ascii="Symbol" w:hAnsi="Symbol" w:hint="default"/>
        <w:color w:val="4F81BD"/>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C18A2"/>
    <w:multiLevelType w:val="multilevel"/>
    <w:tmpl w:val="49BAE716"/>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DF361CB"/>
    <w:multiLevelType w:val="hybridMultilevel"/>
    <w:tmpl w:val="F6D4E446"/>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FF27A70"/>
    <w:multiLevelType w:val="hybridMultilevel"/>
    <w:tmpl w:val="C2DCF38E"/>
    <w:lvl w:ilvl="0" w:tplc="214E3538">
      <w:start w:val="1"/>
      <w:numFmt w:val="decimal"/>
      <w:lvlText w:val="11.%1."/>
      <w:lvlJc w:val="left"/>
      <w:pPr>
        <w:tabs>
          <w:tab w:val="num" w:pos="1137"/>
        </w:tabs>
        <w:ind w:left="11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0C5C70"/>
    <w:multiLevelType w:val="multilevel"/>
    <w:tmpl w:val="AF8E727C"/>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035"/>
        </w:tabs>
        <w:ind w:left="1035" w:hanging="46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8" w15:restartNumberingAfterBreak="0">
    <w:nsid w:val="13D214D7"/>
    <w:multiLevelType w:val="multilevel"/>
    <w:tmpl w:val="E828EB52"/>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5C3A50"/>
    <w:multiLevelType w:val="hybridMultilevel"/>
    <w:tmpl w:val="4C166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E6F93"/>
    <w:multiLevelType w:val="multilevel"/>
    <w:tmpl w:val="5ACCAC2E"/>
    <w:lvl w:ilvl="0">
      <w:start w:val="5"/>
      <w:numFmt w:val="decimal"/>
      <w:lvlText w:val="%1"/>
      <w:lvlJc w:val="left"/>
      <w:pPr>
        <w:ind w:left="480" w:hanging="480"/>
      </w:pPr>
      <w:rPr>
        <w:rFonts w:hint="default"/>
        <w:i w:val="0"/>
      </w:rPr>
    </w:lvl>
    <w:lvl w:ilvl="1">
      <w:start w:val="6"/>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2C00452A"/>
    <w:multiLevelType w:val="multilevel"/>
    <w:tmpl w:val="53983E8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2" w15:restartNumberingAfterBreak="0">
    <w:nsid w:val="2EE41800"/>
    <w:multiLevelType w:val="multilevel"/>
    <w:tmpl w:val="E08ABF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631BA1"/>
    <w:multiLevelType w:val="multilevel"/>
    <w:tmpl w:val="430221C8"/>
    <w:lvl w:ilvl="0">
      <w:start w:val="8"/>
      <w:numFmt w:val="decimal"/>
      <w:lvlText w:val="%1"/>
      <w:lvlJc w:val="left"/>
      <w:pPr>
        <w:ind w:left="360" w:hanging="360"/>
      </w:pPr>
      <w:rPr>
        <w:rFonts w:hint="default"/>
        <w:b w:val="0"/>
      </w:rPr>
    </w:lvl>
    <w:lvl w:ilvl="1">
      <w:start w:val="3"/>
      <w:numFmt w:val="decimal"/>
      <w:lvlText w:val="%1.%2"/>
      <w:lvlJc w:val="left"/>
      <w:pPr>
        <w:ind w:left="1040" w:hanging="360"/>
      </w:pPr>
      <w:rPr>
        <w:rFonts w:hint="default"/>
        <w:b w:val="0"/>
      </w:rPr>
    </w:lvl>
    <w:lvl w:ilvl="2">
      <w:start w:val="1"/>
      <w:numFmt w:val="decimal"/>
      <w:lvlText w:val="%1.%2.%3"/>
      <w:lvlJc w:val="left"/>
      <w:pPr>
        <w:ind w:left="2080" w:hanging="720"/>
      </w:pPr>
      <w:rPr>
        <w:rFonts w:hint="default"/>
        <w:b w:val="0"/>
      </w:rPr>
    </w:lvl>
    <w:lvl w:ilvl="3">
      <w:start w:val="1"/>
      <w:numFmt w:val="decimal"/>
      <w:lvlText w:val="%1.%2.%3.%4"/>
      <w:lvlJc w:val="left"/>
      <w:pPr>
        <w:ind w:left="2760" w:hanging="720"/>
      </w:pPr>
      <w:rPr>
        <w:rFonts w:hint="default"/>
        <w:b w:val="0"/>
      </w:rPr>
    </w:lvl>
    <w:lvl w:ilvl="4">
      <w:start w:val="1"/>
      <w:numFmt w:val="decimal"/>
      <w:lvlText w:val="%1.%2.%3.%4.%5"/>
      <w:lvlJc w:val="left"/>
      <w:pPr>
        <w:ind w:left="3800" w:hanging="1080"/>
      </w:pPr>
      <w:rPr>
        <w:rFonts w:hint="default"/>
        <w:b w:val="0"/>
      </w:rPr>
    </w:lvl>
    <w:lvl w:ilvl="5">
      <w:start w:val="1"/>
      <w:numFmt w:val="decimal"/>
      <w:lvlText w:val="%1.%2.%3.%4.%5.%6"/>
      <w:lvlJc w:val="left"/>
      <w:pPr>
        <w:ind w:left="4480" w:hanging="1080"/>
      </w:pPr>
      <w:rPr>
        <w:rFonts w:hint="default"/>
        <w:b w:val="0"/>
      </w:rPr>
    </w:lvl>
    <w:lvl w:ilvl="6">
      <w:start w:val="1"/>
      <w:numFmt w:val="decimal"/>
      <w:lvlText w:val="%1.%2.%3.%4.%5.%6.%7"/>
      <w:lvlJc w:val="left"/>
      <w:pPr>
        <w:ind w:left="5520" w:hanging="1440"/>
      </w:pPr>
      <w:rPr>
        <w:rFonts w:hint="default"/>
        <w:b w:val="0"/>
      </w:rPr>
    </w:lvl>
    <w:lvl w:ilvl="7">
      <w:start w:val="1"/>
      <w:numFmt w:val="decimal"/>
      <w:lvlText w:val="%1.%2.%3.%4.%5.%6.%7.%8"/>
      <w:lvlJc w:val="left"/>
      <w:pPr>
        <w:ind w:left="6200" w:hanging="1440"/>
      </w:pPr>
      <w:rPr>
        <w:rFonts w:hint="default"/>
        <w:b w:val="0"/>
      </w:rPr>
    </w:lvl>
    <w:lvl w:ilvl="8">
      <w:start w:val="1"/>
      <w:numFmt w:val="decimal"/>
      <w:lvlText w:val="%1.%2.%3.%4.%5.%6.%7.%8.%9"/>
      <w:lvlJc w:val="left"/>
      <w:pPr>
        <w:ind w:left="7240" w:hanging="1800"/>
      </w:pPr>
      <w:rPr>
        <w:rFonts w:hint="default"/>
        <w:b w:val="0"/>
      </w:rPr>
    </w:lvl>
  </w:abstractNum>
  <w:abstractNum w:abstractNumId="14" w15:restartNumberingAfterBreak="0">
    <w:nsid w:val="354C6A05"/>
    <w:multiLevelType w:val="multilevel"/>
    <w:tmpl w:val="64D84F78"/>
    <w:lvl w:ilvl="0">
      <w:start w:val="1"/>
      <w:numFmt w:val="decimal"/>
      <w:lvlText w:val="%1."/>
      <w:lvlJc w:val="left"/>
      <w:pPr>
        <w:tabs>
          <w:tab w:val="num" w:pos="680"/>
        </w:tabs>
        <w:ind w:left="680" w:hanging="680"/>
      </w:pPr>
      <w:rPr>
        <w:rFonts w:hint="default"/>
        <w:b w:val="0"/>
        <w:sz w:val="22"/>
        <w:szCs w:val="22"/>
      </w:rPr>
    </w:lvl>
    <w:lvl w:ilvl="1">
      <w:start w:val="1"/>
      <w:numFmt w:val="decimal"/>
      <w:lvlText w:val="%1.%2."/>
      <w:lvlJc w:val="left"/>
      <w:pPr>
        <w:tabs>
          <w:tab w:val="num" w:pos="1249"/>
        </w:tabs>
        <w:ind w:left="1249" w:hanging="681"/>
      </w:pPr>
      <w:rPr>
        <w:rFonts w:hint="default"/>
        <w:b w:val="0"/>
        <w:i w:val="0"/>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578781F"/>
    <w:multiLevelType w:val="hybridMultilevel"/>
    <w:tmpl w:val="3AF091DC"/>
    <w:lvl w:ilvl="0" w:tplc="84FC37C6">
      <w:start w:val="1"/>
      <w:numFmt w:val="decimal"/>
      <w:lvlText w:val="13.%1."/>
      <w:lvlJc w:val="left"/>
      <w:pPr>
        <w:tabs>
          <w:tab w:val="num" w:pos="1137"/>
        </w:tabs>
        <w:ind w:left="11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D6E7593"/>
    <w:multiLevelType w:val="multilevel"/>
    <w:tmpl w:val="6880738A"/>
    <w:lvl w:ilvl="0">
      <w:start w:val="7"/>
      <w:numFmt w:val="decimal"/>
      <w:lvlText w:val="%1"/>
      <w:lvlJc w:val="left"/>
      <w:pPr>
        <w:tabs>
          <w:tab w:val="num" w:pos="360"/>
        </w:tabs>
        <w:ind w:left="360" w:hanging="360"/>
      </w:pPr>
    </w:lvl>
    <w:lvl w:ilvl="1">
      <w:start w:val="1"/>
      <w:numFmt w:val="decimal"/>
      <w:lvlText w:val="10.%2."/>
      <w:lvlJc w:val="left"/>
      <w:pPr>
        <w:tabs>
          <w:tab w:val="num" w:pos="1137"/>
        </w:tabs>
        <w:ind w:left="1137" w:hanging="567"/>
      </w:pPr>
      <w:rPr>
        <w:rFonts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17" w15:restartNumberingAfterBreak="0">
    <w:nsid w:val="3D970CFB"/>
    <w:multiLevelType w:val="hybridMultilevel"/>
    <w:tmpl w:val="C534D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11740B"/>
    <w:multiLevelType w:val="multilevel"/>
    <w:tmpl w:val="E3F00346"/>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035"/>
        </w:tabs>
        <w:ind w:left="1035" w:hanging="46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20" w15:restartNumberingAfterBreak="0">
    <w:nsid w:val="434E4AE8"/>
    <w:multiLevelType w:val="hybridMultilevel"/>
    <w:tmpl w:val="203CDE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0B4380"/>
    <w:multiLevelType w:val="hybridMultilevel"/>
    <w:tmpl w:val="81C60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9B36F7"/>
    <w:multiLevelType w:val="multilevel"/>
    <w:tmpl w:val="BA0E653E"/>
    <w:lvl w:ilvl="0">
      <w:start w:val="9"/>
      <w:numFmt w:val="decimal"/>
      <w:lvlText w:val="%1"/>
      <w:lvlJc w:val="left"/>
      <w:pPr>
        <w:tabs>
          <w:tab w:val="num" w:pos="360"/>
        </w:tabs>
        <w:ind w:left="360" w:hanging="360"/>
      </w:pPr>
    </w:lvl>
    <w:lvl w:ilvl="1">
      <w:start w:val="1"/>
      <w:numFmt w:val="decimal"/>
      <w:lvlText w:val="12.%2."/>
      <w:lvlJc w:val="left"/>
      <w:pPr>
        <w:tabs>
          <w:tab w:val="num" w:pos="1134"/>
        </w:tabs>
        <w:ind w:left="1134" w:hanging="567"/>
      </w:pPr>
      <w:rPr>
        <w:rFonts w:hint="default"/>
      </w:r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23" w15:restartNumberingAfterBreak="0">
    <w:nsid w:val="48150506"/>
    <w:multiLevelType w:val="multilevel"/>
    <w:tmpl w:val="F42A7B7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A6C5555"/>
    <w:multiLevelType w:val="hybridMultilevel"/>
    <w:tmpl w:val="E828EB52"/>
    <w:lvl w:ilvl="0" w:tplc="08090001">
      <w:start w:val="1"/>
      <w:numFmt w:val="bullet"/>
      <w:lvlText w:val=""/>
      <w:lvlJc w:val="left"/>
      <w:pPr>
        <w:tabs>
          <w:tab w:val="num" w:pos="927"/>
        </w:tabs>
        <w:ind w:left="927"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3662A8B"/>
    <w:multiLevelType w:val="multilevel"/>
    <w:tmpl w:val="F42A7B7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3937F6C"/>
    <w:multiLevelType w:val="hybridMultilevel"/>
    <w:tmpl w:val="3C366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BB085C"/>
    <w:multiLevelType w:val="hybridMultilevel"/>
    <w:tmpl w:val="C85E7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ED0234B"/>
    <w:multiLevelType w:val="hybridMultilevel"/>
    <w:tmpl w:val="0BD06F5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73F2F8C"/>
    <w:multiLevelType w:val="hybridMultilevel"/>
    <w:tmpl w:val="9BFA3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10B72"/>
    <w:multiLevelType w:val="multilevel"/>
    <w:tmpl w:val="9A960CAA"/>
    <w:lvl w:ilvl="0">
      <w:start w:val="7"/>
      <w:numFmt w:val="decimal"/>
      <w:lvlText w:val="%1"/>
      <w:lvlJc w:val="left"/>
      <w:pPr>
        <w:tabs>
          <w:tab w:val="num" w:pos="360"/>
        </w:tabs>
        <w:ind w:left="360" w:hanging="360"/>
      </w:p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31" w15:restartNumberingAfterBreak="0">
    <w:nsid w:val="6D244314"/>
    <w:multiLevelType w:val="multilevel"/>
    <w:tmpl w:val="AF42EA3C"/>
    <w:lvl w:ilvl="0">
      <w:start w:val="1"/>
      <w:numFmt w:val="bullet"/>
      <w:lvlText w:val=""/>
      <w:lvlJc w:val="left"/>
      <w:pPr>
        <w:tabs>
          <w:tab w:val="num" w:pos="930"/>
        </w:tabs>
        <w:ind w:left="93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D97085A"/>
    <w:multiLevelType w:val="hybridMultilevel"/>
    <w:tmpl w:val="05CCE4FA"/>
    <w:lvl w:ilvl="0" w:tplc="A122345A">
      <w:start w:val="1"/>
      <w:numFmt w:val="decimal"/>
      <w:lvlText w:val="9.%1."/>
      <w:lvlJc w:val="left"/>
      <w:pPr>
        <w:tabs>
          <w:tab w:val="num" w:pos="1137"/>
        </w:tabs>
        <w:ind w:left="113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E032FDA"/>
    <w:multiLevelType w:val="multilevel"/>
    <w:tmpl w:val="F658167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34" w15:restartNumberingAfterBreak="0">
    <w:nsid w:val="6E1F577D"/>
    <w:multiLevelType w:val="hybridMultilevel"/>
    <w:tmpl w:val="B7EA4056"/>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0D43607"/>
    <w:multiLevelType w:val="multilevel"/>
    <w:tmpl w:val="6880738A"/>
    <w:lvl w:ilvl="0">
      <w:start w:val="7"/>
      <w:numFmt w:val="decimal"/>
      <w:lvlText w:val="%1"/>
      <w:lvlJc w:val="left"/>
      <w:pPr>
        <w:tabs>
          <w:tab w:val="num" w:pos="360"/>
        </w:tabs>
        <w:ind w:left="360" w:hanging="360"/>
      </w:pPr>
    </w:lvl>
    <w:lvl w:ilvl="1">
      <w:start w:val="1"/>
      <w:numFmt w:val="decimal"/>
      <w:lvlText w:val="10.%2."/>
      <w:lvlJc w:val="left"/>
      <w:pPr>
        <w:tabs>
          <w:tab w:val="num" w:pos="1137"/>
        </w:tabs>
        <w:ind w:left="1137" w:hanging="567"/>
      </w:pPr>
      <w:rPr>
        <w:rFonts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36" w15:restartNumberingAfterBreak="0">
    <w:nsid w:val="762A6D99"/>
    <w:multiLevelType w:val="hybridMultilevel"/>
    <w:tmpl w:val="20BC28F0"/>
    <w:lvl w:ilvl="0" w:tplc="3048A2EC">
      <w:start w:val="1"/>
      <w:numFmt w:val="decimal"/>
      <w:lvlText w:val="2.%1."/>
      <w:lvlJc w:val="left"/>
      <w:pPr>
        <w:tabs>
          <w:tab w:val="num" w:pos="1137"/>
        </w:tabs>
        <w:ind w:left="1137" w:hanging="567"/>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AEE5FBE"/>
    <w:multiLevelType w:val="multilevel"/>
    <w:tmpl w:val="B284FECC"/>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CEC4660"/>
    <w:multiLevelType w:val="multilevel"/>
    <w:tmpl w:val="BA0E653E"/>
    <w:lvl w:ilvl="0">
      <w:start w:val="9"/>
      <w:numFmt w:val="decimal"/>
      <w:lvlText w:val="%1"/>
      <w:lvlJc w:val="left"/>
      <w:pPr>
        <w:tabs>
          <w:tab w:val="num" w:pos="360"/>
        </w:tabs>
        <w:ind w:left="360" w:hanging="360"/>
      </w:pPr>
    </w:lvl>
    <w:lvl w:ilvl="1">
      <w:start w:val="1"/>
      <w:numFmt w:val="decimal"/>
      <w:lvlText w:val="12.%2."/>
      <w:lvlJc w:val="left"/>
      <w:pPr>
        <w:tabs>
          <w:tab w:val="num" w:pos="1134"/>
        </w:tabs>
        <w:ind w:left="1134" w:hanging="567"/>
      </w:pPr>
      <w:rPr>
        <w:rFonts w:hint="default"/>
      </w:r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num w:numId="1">
    <w:abstractNumId w:val="36"/>
  </w:num>
  <w:num w:numId="2">
    <w:abstractNumId w:val="16"/>
  </w:num>
  <w:num w:numId="3">
    <w:abstractNumId w:val="22"/>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4"/>
  </w:num>
  <w:num w:numId="7">
    <w:abstractNumId w:val="36"/>
  </w:num>
  <w:num w:numId="8">
    <w:abstractNumId w:val="1"/>
  </w:num>
  <w:num w:numId="9">
    <w:abstractNumId w:val="31"/>
  </w:num>
  <w:num w:numId="10">
    <w:abstractNumId w:val="35"/>
  </w:num>
  <w:num w:numId="11">
    <w:abstractNumId w:val="32"/>
  </w:num>
  <w:num w:numId="12">
    <w:abstractNumId w:val="38"/>
  </w:num>
  <w:num w:numId="13">
    <w:abstractNumId w:val="6"/>
  </w:num>
  <w:num w:numId="14">
    <w:abstractNumId w:val="8"/>
  </w:num>
  <w:num w:numId="15">
    <w:abstractNumId w:val="15"/>
  </w:num>
  <w:num w:numId="16">
    <w:abstractNumId w:val="11"/>
  </w:num>
  <w:num w:numId="17">
    <w:abstractNumId w:val="7"/>
  </w:num>
  <w:num w:numId="18">
    <w:abstractNumId w:val="19"/>
  </w:num>
  <w:num w:numId="19">
    <w:abstractNumId w:val="4"/>
  </w:num>
  <w:num w:numId="20">
    <w:abstractNumId w:val="33"/>
  </w:num>
  <w:num w:numId="21">
    <w:abstractNumId w:val="0"/>
  </w:num>
  <w:num w:numId="22">
    <w:abstractNumId w:val="14"/>
  </w:num>
  <w:num w:numId="23">
    <w:abstractNumId w:val="27"/>
  </w:num>
  <w:num w:numId="24">
    <w:abstractNumId w:val="3"/>
  </w:num>
  <w:num w:numId="25">
    <w:abstractNumId w:val="26"/>
  </w:num>
  <w:num w:numId="26">
    <w:abstractNumId w:val="13"/>
  </w:num>
  <w:num w:numId="27">
    <w:abstractNumId w:val="29"/>
  </w:num>
  <w:num w:numId="28">
    <w:abstractNumId w:val="21"/>
  </w:num>
  <w:num w:numId="29">
    <w:abstractNumId w:val="9"/>
  </w:num>
  <w:num w:numId="30">
    <w:abstractNumId w:val="5"/>
  </w:num>
  <w:num w:numId="31">
    <w:abstractNumId w:val="34"/>
  </w:num>
  <w:num w:numId="32">
    <w:abstractNumId w:val="28"/>
  </w:num>
  <w:num w:numId="33">
    <w:abstractNumId w:val="18"/>
  </w:num>
  <w:num w:numId="34">
    <w:abstractNumId w:val="12"/>
  </w:num>
  <w:num w:numId="35">
    <w:abstractNumId w:val="2"/>
  </w:num>
  <w:num w:numId="36">
    <w:abstractNumId w:val="37"/>
  </w:num>
  <w:num w:numId="37">
    <w:abstractNumId w:val="23"/>
  </w:num>
  <w:num w:numId="38">
    <w:abstractNumId w:val="25"/>
  </w:num>
  <w:num w:numId="39">
    <w:abstractNumId w:val="17"/>
  </w:num>
  <w:num w:numId="40">
    <w:abstractNumId w:val="2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EB"/>
    <w:rsid w:val="00010011"/>
    <w:rsid w:val="00012621"/>
    <w:rsid w:val="00020D21"/>
    <w:rsid w:val="00025F66"/>
    <w:rsid w:val="00031D01"/>
    <w:rsid w:val="00033906"/>
    <w:rsid w:val="00035392"/>
    <w:rsid w:val="000357D8"/>
    <w:rsid w:val="00050898"/>
    <w:rsid w:val="00054DC8"/>
    <w:rsid w:val="00055BD7"/>
    <w:rsid w:val="00056036"/>
    <w:rsid w:val="000658EF"/>
    <w:rsid w:val="000677E4"/>
    <w:rsid w:val="00070A45"/>
    <w:rsid w:val="00073213"/>
    <w:rsid w:val="00073B23"/>
    <w:rsid w:val="00075486"/>
    <w:rsid w:val="00075EE8"/>
    <w:rsid w:val="000762EF"/>
    <w:rsid w:val="00081B77"/>
    <w:rsid w:val="00082022"/>
    <w:rsid w:val="00082EC2"/>
    <w:rsid w:val="000837A1"/>
    <w:rsid w:val="000852AC"/>
    <w:rsid w:val="00085325"/>
    <w:rsid w:val="0009098F"/>
    <w:rsid w:val="00094BA7"/>
    <w:rsid w:val="0009596D"/>
    <w:rsid w:val="0009693A"/>
    <w:rsid w:val="00097EE0"/>
    <w:rsid w:val="000A085A"/>
    <w:rsid w:val="000A0E6A"/>
    <w:rsid w:val="000A1A32"/>
    <w:rsid w:val="000A60C7"/>
    <w:rsid w:val="000A677C"/>
    <w:rsid w:val="000B5520"/>
    <w:rsid w:val="000B5ADF"/>
    <w:rsid w:val="000B70CC"/>
    <w:rsid w:val="000C1A72"/>
    <w:rsid w:val="000C1D0A"/>
    <w:rsid w:val="000C2A35"/>
    <w:rsid w:val="000C2EA7"/>
    <w:rsid w:val="000D0EA7"/>
    <w:rsid w:val="000D185A"/>
    <w:rsid w:val="000E117D"/>
    <w:rsid w:val="000E26FA"/>
    <w:rsid w:val="000F5B31"/>
    <w:rsid w:val="000F68E9"/>
    <w:rsid w:val="000F77D2"/>
    <w:rsid w:val="001005DC"/>
    <w:rsid w:val="001013B9"/>
    <w:rsid w:val="00104F94"/>
    <w:rsid w:val="0011628E"/>
    <w:rsid w:val="00123DBF"/>
    <w:rsid w:val="00125F92"/>
    <w:rsid w:val="00133BBF"/>
    <w:rsid w:val="001346B8"/>
    <w:rsid w:val="001353FD"/>
    <w:rsid w:val="00147C9F"/>
    <w:rsid w:val="00150A79"/>
    <w:rsid w:val="001522D3"/>
    <w:rsid w:val="001538E7"/>
    <w:rsid w:val="00172E18"/>
    <w:rsid w:val="00177ABF"/>
    <w:rsid w:val="001816BE"/>
    <w:rsid w:val="00194CA5"/>
    <w:rsid w:val="00196DB1"/>
    <w:rsid w:val="001A760E"/>
    <w:rsid w:val="001A7618"/>
    <w:rsid w:val="001B3B36"/>
    <w:rsid w:val="001C0EB7"/>
    <w:rsid w:val="001C203A"/>
    <w:rsid w:val="001D04EB"/>
    <w:rsid w:val="001D074D"/>
    <w:rsid w:val="001D39FB"/>
    <w:rsid w:val="001E0AF7"/>
    <w:rsid w:val="001E1E76"/>
    <w:rsid w:val="001E58B8"/>
    <w:rsid w:val="001F41A4"/>
    <w:rsid w:val="001F79CA"/>
    <w:rsid w:val="001F7D95"/>
    <w:rsid w:val="0020207C"/>
    <w:rsid w:val="002022B4"/>
    <w:rsid w:val="002052AE"/>
    <w:rsid w:val="00207D32"/>
    <w:rsid w:val="00213064"/>
    <w:rsid w:val="002159B6"/>
    <w:rsid w:val="00220CDD"/>
    <w:rsid w:val="00222A24"/>
    <w:rsid w:val="002233B0"/>
    <w:rsid w:val="002304BF"/>
    <w:rsid w:val="00230CD0"/>
    <w:rsid w:val="00233D14"/>
    <w:rsid w:val="00236E75"/>
    <w:rsid w:val="00243548"/>
    <w:rsid w:val="00245A31"/>
    <w:rsid w:val="002528F7"/>
    <w:rsid w:val="0025565B"/>
    <w:rsid w:val="00255DA1"/>
    <w:rsid w:val="002565FA"/>
    <w:rsid w:val="0026193B"/>
    <w:rsid w:val="00272D65"/>
    <w:rsid w:val="002764E4"/>
    <w:rsid w:val="00277DAD"/>
    <w:rsid w:val="00281B6D"/>
    <w:rsid w:val="00283E28"/>
    <w:rsid w:val="002851D1"/>
    <w:rsid w:val="0029035F"/>
    <w:rsid w:val="0029139B"/>
    <w:rsid w:val="00294E3A"/>
    <w:rsid w:val="00297C14"/>
    <w:rsid w:val="002A0D65"/>
    <w:rsid w:val="002A12F5"/>
    <w:rsid w:val="002B054B"/>
    <w:rsid w:val="002C31FB"/>
    <w:rsid w:val="002C3656"/>
    <w:rsid w:val="002C3B62"/>
    <w:rsid w:val="002E014B"/>
    <w:rsid w:val="002E0D12"/>
    <w:rsid w:val="002E1B9D"/>
    <w:rsid w:val="002E3A0E"/>
    <w:rsid w:val="002F5493"/>
    <w:rsid w:val="002F7FBD"/>
    <w:rsid w:val="00300CCF"/>
    <w:rsid w:val="003026E1"/>
    <w:rsid w:val="0030659C"/>
    <w:rsid w:val="00312AE4"/>
    <w:rsid w:val="0031535D"/>
    <w:rsid w:val="00315770"/>
    <w:rsid w:val="00320677"/>
    <w:rsid w:val="003276B9"/>
    <w:rsid w:val="0033056D"/>
    <w:rsid w:val="00330C37"/>
    <w:rsid w:val="0033241D"/>
    <w:rsid w:val="003338B0"/>
    <w:rsid w:val="003364FD"/>
    <w:rsid w:val="003467BE"/>
    <w:rsid w:val="003510D2"/>
    <w:rsid w:val="003520D2"/>
    <w:rsid w:val="00361355"/>
    <w:rsid w:val="003712AF"/>
    <w:rsid w:val="00382381"/>
    <w:rsid w:val="00392ECF"/>
    <w:rsid w:val="003A00FE"/>
    <w:rsid w:val="003A069D"/>
    <w:rsid w:val="003A3B7D"/>
    <w:rsid w:val="003B5359"/>
    <w:rsid w:val="003B5722"/>
    <w:rsid w:val="003B74F8"/>
    <w:rsid w:val="003C0DD7"/>
    <w:rsid w:val="003C59F0"/>
    <w:rsid w:val="003D09AA"/>
    <w:rsid w:val="003D24E8"/>
    <w:rsid w:val="003D5A1D"/>
    <w:rsid w:val="003E0575"/>
    <w:rsid w:val="003E12FA"/>
    <w:rsid w:val="003E1BC7"/>
    <w:rsid w:val="003E57B4"/>
    <w:rsid w:val="003E67CF"/>
    <w:rsid w:val="003F18AA"/>
    <w:rsid w:val="003F64A3"/>
    <w:rsid w:val="003F7094"/>
    <w:rsid w:val="0040031F"/>
    <w:rsid w:val="004016D4"/>
    <w:rsid w:val="00405262"/>
    <w:rsid w:val="004118CC"/>
    <w:rsid w:val="00412E75"/>
    <w:rsid w:val="00427623"/>
    <w:rsid w:val="00433DBE"/>
    <w:rsid w:val="00437142"/>
    <w:rsid w:val="004570FD"/>
    <w:rsid w:val="004571B9"/>
    <w:rsid w:val="0046249A"/>
    <w:rsid w:val="004627EA"/>
    <w:rsid w:val="004757AD"/>
    <w:rsid w:val="00475BEF"/>
    <w:rsid w:val="00486885"/>
    <w:rsid w:val="00486A29"/>
    <w:rsid w:val="00495FDA"/>
    <w:rsid w:val="00497722"/>
    <w:rsid w:val="004A0015"/>
    <w:rsid w:val="004A2463"/>
    <w:rsid w:val="004B236A"/>
    <w:rsid w:val="004B245F"/>
    <w:rsid w:val="004B3F25"/>
    <w:rsid w:val="004B48C3"/>
    <w:rsid w:val="004B7772"/>
    <w:rsid w:val="004C1BAD"/>
    <w:rsid w:val="004C42AF"/>
    <w:rsid w:val="004C4C6F"/>
    <w:rsid w:val="004C53F6"/>
    <w:rsid w:val="004D24DE"/>
    <w:rsid w:val="004D644A"/>
    <w:rsid w:val="004E3487"/>
    <w:rsid w:val="004F6A5E"/>
    <w:rsid w:val="00501DF8"/>
    <w:rsid w:val="0050306D"/>
    <w:rsid w:val="0050334C"/>
    <w:rsid w:val="00507B0B"/>
    <w:rsid w:val="0051141B"/>
    <w:rsid w:val="00515F29"/>
    <w:rsid w:val="00517A06"/>
    <w:rsid w:val="00520782"/>
    <w:rsid w:val="00520B2A"/>
    <w:rsid w:val="00531872"/>
    <w:rsid w:val="005365C3"/>
    <w:rsid w:val="00540277"/>
    <w:rsid w:val="0054355C"/>
    <w:rsid w:val="00543FFF"/>
    <w:rsid w:val="005479C6"/>
    <w:rsid w:val="00552BFD"/>
    <w:rsid w:val="00554292"/>
    <w:rsid w:val="0056132B"/>
    <w:rsid w:val="00563782"/>
    <w:rsid w:val="00566B93"/>
    <w:rsid w:val="005677D8"/>
    <w:rsid w:val="0056786A"/>
    <w:rsid w:val="005736B5"/>
    <w:rsid w:val="00575348"/>
    <w:rsid w:val="0058427C"/>
    <w:rsid w:val="00586AA8"/>
    <w:rsid w:val="00586E8C"/>
    <w:rsid w:val="0059415E"/>
    <w:rsid w:val="00594E8D"/>
    <w:rsid w:val="005969EF"/>
    <w:rsid w:val="00596F92"/>
    <w:rsid w:val="005A321B"/>
    <w:rsid w:val="005A5CE8"/>
    <w:rsid w:val="005A649B"/>
    <w:rsid w:val="005D6346"/>
    <w:rsid w:val="005D7D08"/>
    <w:rsid w:val="005F1795"/>
    <w:rsid w:val="00602436"/>
    <w:rsid w:val="00611A2B"/>
    <w:rsid w:val="00613D80"/>
    <w:rsid w:val="006173D6"/>
    <w:rsid w:val="0061798E"/>
    <w:rsid w:val="00617BFC"/>
    <w:rsid w:val="00623B1C"/>
    <w:rsid w:val="0062740F"/>
    <w:rsid w:val="00627D6B"/>
    <w:rsid w:val="00636865"/>
    <w:rsid w:val="00642195"/>
    <w:rsid w:val="006469CD"/>
    <w:rsid w:val="00652E5C"/>
    <w:rsid w:val="006533CD"/>
    <w:rsid w:val="00657BD4"/>
    <w:rsid w:val="0066328A"/>
    <w:rsid w:val="00670A7C"/>
    <w:rsid w:val="00672D9C"/>
    <w:rsid w:val="00676E91"/>
    <w:rsid w:val="00677FBC"/>
    <w:rsid w:val="0068013E"/>
    <w:rsid w:val="006912F7"/>
    <w:rsid w:val="00696623"/>
    <w:rsid w:val="00697CB9"/>
    <w:rsid w:val="006A11A3"/>
    <w:rsid w:val="006A5CF4"/>
    <w:rsid w:val="006B0FC2"/>
    <w:rsid w:val="006B3745"/>
    <w:rsid w:val="006B5E67"/>
    <w:rsid w:val="006C16FD"/>
    <w:rsid w:val="006C5929"/>
    <w:rsid w:val="006C5DF2"/>
    <w:rsid w:val="006D3181"/>
    <w:rsid w:val="006E00CA"/>
    <w:rsid w:val="006E00D3"/>
    <w:rsid w:val="006E0ED4"/>
    <w:rsid w:val="006E405E"/>
    <w:rsid w:val="006F07F5"/>
    <w:rsid w:val="006F6960"/>
    <w:rsid w:val="007024FF"/>
    <w:rsid w:val="00704F72"/>
    <w:rsid w:val="0070597B"/>
    <w:rsid w:val="00706136"/>
    <w:rsid w:val="007063FB"/>
    <w:rsid w:val="007072FF"/>
    <w:rsid w:val="007161C9"/>
    <w:rsid w:val="0071623C"/>
    <w:rsid w:val="00723676"/>
    <w:rsid w:val="00725170"/>
    <w:rsid w:val="00727445"/>
    <w:rsid w:val="00727BAD"/>
    <w:rsid w:val="007302E3"/>
    <w:rsid w:val="007376D1"/>
    <w:rsid w:val="00747BBB"/>
    <w:rsid w:val="007512CD"/>
    <w:rsid w:val="00751A9D"/>
    <w:rsid w:val="007535B8"/>
    <w:rsid w:val="0076337F"/>
    <w:rsid w:val="0076476A"/>
    <w:rsid w:val="00793664"/>
    <w:rsid w:val="007A3A13"/>
    <w:rsid w:val="007B58F3"/>
    <w:rsid w:val="007B7AF6"/>
    <w:rsid w:val="007C1588"/>
    <w:rsid w:val="007C1D46"/>
    <w:rsid w:val="007C6461"/>
    <w:rsid w:val="007C6AA0"/>
    <w:rsid w:val="007D6DFF"/>
    <w:rsid w:val="007D7126"/>
    <w:rsid w:val="007E01EA"/>
    <w:rsid w:val="007E1569"/>
    <w:rsid w:val="007E3C6C"/>
    <w:rsid w:val="007E440A"/>
    <w:rsid w:val="007E5800"/>
    <w:rsid w:val="007E7B7B"/>
    <w:rsid w:val="007F08E6"/>
    <w:rsid w:val="007F2856"/>
    <w:rsid w:val="0081033D"/>
    <w:rsid w:val="008132C6"/>
    <w:rsid w:val="00815090"/>
    <w:rsid w:val="0081533C"/>
    <w:rsid w:val="00817344"/>
    <w:rsid w:val="008175A2"/>
    <w:rsid w:val="00817B39"/>
    <w:rsid w:val="00823D83"/>
    <w:rsid w:val="00825089"/>
    <w:rsid w:val="008262F4"/>
    <w:rsid w:val="00831618"/>
    <w:rsid w:val="00834ECB"/>
    <w:rsid w:val="0083544C"/>
    <w:rsid w:val="00840685"/>
    <w:rsid w:val="00850188"/>
    <w:rsid w:val="00855D64"/>
    <w:rsid w:val="00857076"/>
    <w:rsid w:val="00861CE8"/>
    <w:rsid w:val="00862660"/>
    <w:rsid w:val="00863BDD"/>
    <w:rsid w:val="008700A5"/>
    <w:rsid w:val="0087232F"/>
    <w:rsid w:val="00882238"/>
    <w:rsid w:val="008852FC"/>
    <w:rsid w:val="00886247"/>
    <w:rsid w:val="0089227B"/>
    <w:rsid w:val="00892685"/>
    <w:rsid w:val="008A0410"/>
    <w:rsid w:val="008A0AB6"/>
    <w:rsid w:val="008A0BE2"/>
    <w:rsid w:val="008A5E12"/>
    <w:rsid w:val="008B1907"/>
    <w:rsid w:val="008B6E7B"/>
    <w:rsid w:val="008B7DCD"/>
    <w:rsid w:val="008C7258"/>
    <w:rsid w:val="008C7C10"/>
    <w:rsid w:val="008E265D"/>
    <w:rsid w:val="008F1EBE"/>
    <w:rsid w:val="008F2D93"/>
    <w:rsid w:val="008F66AC"/>
    <w:rsid w:val="008F71A6"/>
    <w:rsid w:val="009051B5"/>
    <w:rsid w:val="00910830"/>
    <w:rsid w:val="009231F1"/>
    <w:rsid w:val="0092369B"/>
    <w:rsid w:val="00932FFA"/>
    <w:rsid w:val="009520EF"/>
    <w:rsid w:val="00955A6B"/>
    <w:rsid w:val="00961AF0"/>
    <w:rsid w:val="00974137"/>
    <w:rsid w:val="009757B0"/>
    <w:rsid w:val="00983AA1"/>
    <w:rsid w:val="00984351"/>
    <w:rsid w:val="009917E9"/>
    <w:rsid w:val="00994897"/>
    <w:rsid w:val="009979FD"/>
    <w:rsid w:val="009A461B"/>
    <w:rsid w:val="009A7A7E"/>
    <w:rsid w:val="009B1A2B"/>
    <w:rsid w:val="009B34E1"/>
    <w:rsid w:val="009B4B8C"/>
    <w:rsid w:val="009B5813"/>
    <w:rsid w:val="009B701F"/>
    <w:rsid w:val="009C4FC2"/>
    <w:rsid w:val="009C7EE9"/>
    <w:rsid w:val="009E0297"/>
    <w:rsid w:val="009E1715"/>
    <w:rsid w:val="009E55B9"/>
    <w:rsid w:val="009E6B78"/>
    <w:rsid w:val="009F1D72"/>
    <w:rsid w:val="009F2ACB"/>
    <w:rsid w:val="009F4E82"/>
    <w:rsid w:val="009F530F"/>
    <w:rsid w:val="009F7169"/>
    <w:rsid w:val="00A0395A"/>
    <w:rsid w:val="00A0625C"/>
    <w:rsid w:val="00A112A2"/>
    <w:rsid w:val="00A133C8"/>
    <w:rsid w:val="00A15AFB"/>
    <w:rsid w:val="00A40C7A"/>
    <w:rsid w:val="00A514B7"/>
    <w:rsid w:val="00A532E1"/>
    <w:rsid w:val="00A55B46"/>
    <w:rsid w:val="00A60B7F"/>
    <w:rsid w:val="00A6333C"/>
    <w:rsid w:val="00A65F55"/>
    <w:rsid w:val="00A738A1"/>
    <w:rsid w:val="00A73941"/>
    <w:rsid w:val="00A745E9"/>
    <w:rsid w:val="00A777EE"/>
    <w:rsid w:val="00A8085C"/>
    <w:rsid w:val="00A81BAC"/>
    <w:rsid w:val="00A8478B"/>
    <w:rsid w:val="00A93971"/>
    <w:rsid w:val="00A959A2"/>
    <w:rsid w:val="00A95E62"/>
    <w:rsid w:val="00A960FC"/>
    <w:rsid w:val="00A967AC"/>
    <w:rsid w:val="00AA0889"/>
    <w:rsid w:val="00AA4D52"/>
    <w:rsid w:val="00AA7A6F"/>
    <w:rsid w:val="00AB352D"/>
    <w:rsid w:val="00AB5D4F"/>
    <w:rsid w:val="00AC0BE6"/>
    <w:rsid w:val="00AC2A97"/>
    <w:rsid w:val="00AC48F5"/>
    <w:rsid w:val="00AC555E"/>
    <w:rsid w:val="00AC6F5A"/>
    <w:rsid w:val="00AD425F"/>
    <w:rsid w:val="00AD5B80"/>
    <w:rsid w:val="00AD7282"/>
    <w:rsid w:val="00AE6B1A"/>
    <w:rsid w:val="00AF022B"/>
    <w:rsid w:val="00AF6ABD"/>
    <w:rsid w:val="00B03B5A"/>
    <w:rsid w:val="00B07C3B"/>
    <w:rsid w:val="00B15B09"/>
    <w:rsid w:val="00B15EA5"/>
    <w:rsid w:val="00B2329E"/>
    <w:rsid w:val="00B25B57"/>
    <w:rsid w:val="00B34C96"/>
    <w:rsid w:val="00B3615F"/>
    <w:rsid w:val="00B36FE1"/>
    <w:rsid w:val="00B42AF8"/>
    <w:rsid w:val="00B43058"/>
    <w:rsid w:val="00B4372E"/>
    <w:rsid w:val="00B4707A"/>
    <w:rsid w:val="00B506BB"/>
    <w:rsid w:val="00B54553"/>
    <w:rsid w:val="00B57AED"/>
    <w:rsid w:val="00B57EC8"/>
    <w:rsid w:val="00B6670F"/>
    <w:rsid w:val="00B66E02"/>
    <w:rsid w:val="00B756D3"/>
    <w:rsid w:val="00B80358"/>
    <w:rsid w:val="00B87E75"/>
    <w:rsid w:val="00B916D3"/>
    <w:rsid w:val="00B96254"/>
    <w:rsid w:val="00BA3C4C"/>
    <w:rsid w:val="00BA5082"/>
    <w:rsid w:val="00BB193A"/>
    <w:rsid w:val="00BB2A62"/>
    <w:rsid w:val="00BB45E2"/>
    <w:rsid w:val="00BB5693"/>
    <w:rsid w:val="00BB7C92"/>
    <w:rsid w:val="00BD0568"/>
    <w:rsid w:val="00BD31CD"/>
    <w:rsid w:val="00BD37B6"/>
    <w:rsid w:val="00BD3AAE"/>
    <w:rsid w:val="00BD7206"/>
    <w:rsid w:val="00BE2078"/>
    <w:rsid w:val="00BE4A4B"/>
    <w:rsid w:val="00BF2CA6"/>
    <w:rsid w:val="00C000AC"/>
    <w:rsid w:val="00C0178B"/>
    <w:rsid w:val="00C01837"/>
    <w:rsid w:val="00C02ADF"/>
    <w:rsid w:val="00C075D2"/>
    <w:rsid w:val="00C10D8C"/>
    <w:rsid w:val="00C1585D"/>
    <w:rsid w:val="00C15E1A"/>
    <w:rsid w:val="00C15F7E"/>
    <w:rsid w:val="00C1725B"/>
    <w:rsid w:val="00C226B0"/>
    <w:rsid w:val="00C32541"/>
    <w:rsid w:val="00C33637"/>
    <w:rsid w:val="00C35669"/>
    <w:rsid w:val="00C3585C"/>
    <w:rsid w:val="00C35B5C"/>
    <w:rsid w:val="00C458A4"/>
    <w:rsid w:val="00C46ED3"/>
    <w:rsid w:val="00C51800"/>
    <w:rsid w:val="00C53663"/>
    <w:rsid w:val="00C65737"/>
    <w:rsid w:val="00C657BB"/>
    <w:rsid w:val="00C663AB"/>
    <w:rsid w:val="00C706FE"/>
    <w:rsid w:val="00C7155A"/>
    <w:rsid w:val="00C74821"/>
    <w:rsid w:val="00C757A7"/>
    <w:rsid w:val="00C7690B"/>
    <w:rsid w:val="00C86556"/>
    <w:rsid w:val="00C9130A"/>
    <w:rsid w:val="00C93830"/>
    <w:rsid w:val="00C945C0"/>
    <w:rsid w:val="00C950CD"/>
    <w:rsid w:val="00C960A6"/>
    <w:rsid w:val="00C97DEB"/>
    <w:rsid w:val="00CA0B36"/>
    <w:rsid w:val="00CA4A79"/>
    <w:rsid w:val="00CA5C65"/>
    <w:rsid w:val="00CB2DEB"/>
    <w:rsid w:val="00CB2E0D"/>
    <w:rsid w:val="00CB4181"/>
    <w:rsid w:val="00CB5B39"/>
    <w:rsid w:val="00CB7BA8"/>
    <w:rsid w:val="00CC2DBA"/>
    <w:rsid w:val="00CC319B"/>
    <w:rsid w:val="00CC6834"/>
    <w:rsid w:val="00CC7B01"/>
    <w:rsid w:val="00CD1CDC"/>
    <w:rsid w:val="00CD2099"/>
    <w:rsid w:val="00CD41ED"/>
    <w:rsid w:val="00CD57BF"/>
    <w:rsid w:val="00CD724A"/>
    <w:rsid w:val="00CD7B88"/>
    <w:rsid w:val="00CE0CA4"/>
    <w:rsid w:val="00CE3E2D"/>
    <w:rsid w:val="00CE647A"/>
    <w:rsid w:val="00CF0D33"/>
    <w:rsid w:val="00CF3B76"/>
    <w:rsid w:val="00CF7097"/>
    <w:rsid w:val="00D06BA7"/>
    <w:rsid w:val="00D06F69"/>
    <w:rsid w:val="00D113E5"/>
    <w:rsid w:val="00D118AC"/>
    <w:rsid w:val="00D14FC8"/>
    <w:rsid w:val="00D15747"/>
    <w:rsid w:val="00D15BBF"/>
    <w:rsid w:val="00D26B7A"/>
    <w:rsid w:val="00D408EE"/>
    <w:rsid w:val="00D426B6"/>
    <w:rsid w:val="00D43066"/>
    <w:rsid w:val="00D44864"/>
    <w:rsid w:val="00D61F68"/>
    <w:rsid w:val="00D7011D"/>
    <w:rsid w:val="00D708CC"/>
    <w:rsid w:val="00D765E5"/>
    <w:rsid w:val="00D77746"/>
    <w:rsid w:val="00D94C3D"/>
    <w:rsid w:val="00DA08A9"/>
    <w:rsid w:val="00DA4A26"/>
    <w:rsid w:val="00DB12EF"/>
    <w:rsid w:val="00DB2705"/>
    <w:rsid w:val="00DB623C"/>
    <w:rsid w:val="00DB6A0F"/>
    <w:rsid w:val="00DC1492"/>
    <w:rsid w:val="00DC47A1"/>
    <w:rsid w:val="00DC4933"/>
    <w:rsid w:val="00DC4E02"/>
    <w:rsid w:val="00DC7F24"/>
    <w:rsid w:val="00DD29A0"/>
    <w:rsid w:val="00DE1B93"/>
    <w:rsid w:val="00DE3ADA"/>
    <w:rsid w:val="00DE3E58"/>
    <w:rsid w:val="00DF0478"/>
    <w:rsid w:val="00DF606B"/>
    <w:rsid w:val="00E020B7"/>
    <w:rsid w:val="00E03576"/>
    <w:rsid w:val="00E06AF1"/>
    <w:rsid w:val="00E10EF5"/>
    <w:rsid w:val="00E11320"/>
    <w:rsid w:val="00E11EF6"/>
    <w:rsid w:val="00E20378"/>
    <w:rsid w:val="00E203FB"/>
    <w:rsid w:val="00E20B07"/>
    <w:rsid w:val="00E21F51"/>
    <w:rsid w:val="00E26C16"/>
    <w:rsid w:val="00E31145"/>
    <w:rsid w:val="00E35EA5"/>
    <w:rsid w:val="00E47201"/>
    <w:rsid w:val="00E50848"/>
    <w:rsid w:val="00E62370"/>
    <w:rsid w:val="00E672FF"/>
    <w:rsid w:val="00E723ED"/>
    <w:rsid w:val="00E74B51"/>
    <w:rsid w:val="00E818E7"/>
    <w:rsid w:val="00E84BBA"/>
    <w:rsid w:val="00E855F3"/>
    <w:rsid w:val="00E92CFA"/>
    <w:rsid w:val="00EA0FD6"/>
    <w:rsid w:val="00EA3F62"/>
    <w:rsid w:val="00EB67DC"/>
    <w:rsid w:val="00EB6F58"/>
    <w:rsid w:val="00EB7C9D"/>
    <w:rsid w:val="00EC0857"/>
    <w:rsid w:val="00EC1223"/>
    <w:rsid w:val="00EC569A"/>
    <w:rsid w:val="00ED1971"/>
    <w:rsid w:val="00ED1B17"/>
    <w:rsid w:val="00ED7C77"/>
    <w:rsid w:val="00EE7969"/>
    <w:rsid w:val="00EF7378"/>
    <w:rsid w:val="00F01F07"/>
    <w:rsid w:val="00F114A4"/>
    <w:rsid w:val="00F30134"/>
    <w:rsid w:val="00F30AFD"/>
    <w:rsid w:val="00F3113C"/>
    <w:rsid w:val="00F41DF7"/>
    <w:rsid w:val="00F42AF4"/>
    <w:rsid w:val="00F44D9E"/>
    <w:rsid w:val="00F476C6"/>
    <w:rsid w:val="00F541DD"/>
    <w:rsid w:val="00F544E7"/>
    <w:rsid w:val="00F55FB7"/>
    <w:rsid w:val="00F56F97"/>
    <w:rsid w:val="00F71BCC"/>
    <w:rsid w:val="00F80D5D"/>
    <w:rsid w:val="00F81780"/>
    <w:rsid w:val="00F82AF0"/>
    <w:rsid w:val="00F84ADD"/>
    <w:rsid w:val="00F85271"/>
    <w:rsid w:val="00F86ED6"/>
    <w:rsid w:val="00F9510A"/>
    <w:rsid w:val="00FA1CC3"/>
    <w:rsid w:val="00FA7971"/>
    <w:rsid w:val="00FB599C"/>
    <w:rsid w:val="00FD25A9"/>
    <w:rsid w:val="00FD3D02"/>
    <w:rsid w:val="00FD4975"/>
    <w:rsid w:val="00FE3E5F"/>
    <w:rsid w:val="00FE40AB"/>
    <w:rsid w:val="00FE41C8"/>
    <w:rsid w:val="00FF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5349980"/>
  <w15:docId w15:val="{7938E4D1-24D1-4DAF-A1EF-2B59D84F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CB2DEB"/>
    <w:pPr>
      <w:spacing w:before="600" w:after="240" w:line="280" w:lineRule="exact"/>
    </w:pPr>
    <w:rPr>
      <w:rFonts w:ascii="Frutiger 55 Roman" w:hAnsi="Frutiger 55 Roman"/>
      <w:b/>
      <w:sz w:val="32"/>
      <w:szCs w:val="20"/>
    </w:rPr>
  </w:style>
  <w:style w:type="paragraph" w:customStyle="1" w:styleId="MainText">
    <w:name w:val="Main Text"/>
    <w:basedOn w:val="Normal"/>
    <w:rsid w:val="00CB2DEB"/>
    <w:pPr>
      <w:spacing w:line="280" w:lineRule="exact"/>
    </w:pPr>
    <w:rPr>
      <w:rFonts w:ascii="Frutiger 45 Light" w:hAnsi="Frutiger 45 Light"/>
      <w:sz w:val="22"/>
      <w:szCs w:val="20"/>
    </w:rPr>
  </w:style>
  <w:style w:type="table" w:styleId="TableGrid">
    <w:name w:val="Table Grid"/>
    <w:basedOn w:val="TableNormal"/>
    <w:rsid w:val="00CB2D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18AC"/>
    <w:pPr>
      <w:tabs>
        <w:tab w:val="center" w:pos="4153"/>
        <w:tab w:val="right" w:pos="8306"/>
      </w:tabs>
    </w:pPr>
  </w:style>
  <w:style w:type="paragraph" w:styleId="Footer">
    <w:name w:val="footer"/>
    <w:basedOn w:val="Normal"/>
    <w:rsid w:val="00D118AC"/>
    <w:pPr>
      <w:tabs>
        <w:tab w:val="center" w:pos="4153"/>
        <w:tab w:val="right" w:pos="8306"/>
      </w:tabs>
    </w:pPr>
  </w:style>
  <w:style w:type="paragraph" w:styleId="BalloonText">
    <w:name w:val="Balloon Text"/>
    <w:basedOn w:val="Normal"/>
    <w:semiHidden/>
    <w:rsid w:val="00F3113C"/>
    <w:rPr>
      <w:rFonts w:ascii="Tahoma" w:hAnsi="Tahoma" w:cs="Tahoma"/>
      <w:sz w:val="16"/>
      <w:szCs w:val="16"/>
    </w:rPr>
  </w:style>
  <w:style w:type="paragraph" w:styleId="ListParagraph">
    <w:name w:val="List Paragraph"/>
    <w:aliases w:val="F5 List Paragraph"/>
    <w:basedOn w:val="Normal"/>
    <w:uiPriority w:val="34"/>
    <w:qFormat/>
    <w:rsid w:val="00B756D3"/>
    <w:pPr>
      <w:ind w:left="720"/>
    </w:pPr>
  </w:style>
  <w:style w:type="character" w:styleId="Hyperlink">
    <w:name w:val="Hyperlink"/>
    <w:basedOn w:val="DefaultParagraphFont"/>
    <w:rsid w:val="001C2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02568">
      <w:bodyDiv w:val="1"/>
      <w:marLeft w:val="0"/>
      <w:marRight w:val="0"/>
      <w:marTop w:val="0"/>
      <w:marBottom w:val="0"/>
      <w:divBdr>
        <w:top w:val="none" w:sz="0" w:space="0" w:color="auto"/>
        <w:left w:val="none" w:sz="0" w:space="0" w:color="auto"/>
        <w:bottom w:val="none" w:sz="0" w:space="0" w:color="auto"/>
        <w:right w:val="none" w:sz="0" w:space="0" w:color="auto"/>
      </w:divBdr>
    </w:div>
    <w:div w:id="1040057778">
      <w:bodyDiv w:val="1"/>
      <w:marLeft w:val="0"/>
      <w:marRight w:val="0"/>
      <w:marTop w:val="0"/>
      <w:marBottom w:val="0"/>
      <w:divBdr>
        <w:top w:val="none" w:sz="0" w:space="0" w:color="auto"/>
        <w:left w:val="none" w:sz="0" w:space="0" w:color="auto"/>
        <w:bottom w:val="none" w:sz="0" w:space="0" w:color="auto"/>
        <w:right w:val="none" w:sz="0" w:space="0" w:color="auto"/>
      </w:divBdr>
    </w:div>
    <w:div w:id="1062748692">
      <w:bodyDiv w:val="1"/>
      <w:marLeft w:val="0"/>
      <w:marRight w:val="0"/>
      <w:marTop w:val="0"/>
      <w:marBottom w:val="0"/>
      <w:divBdr>
        <w:top w:val="none" w:sz="0" w:space="0" w:color="auto"/>
        <w:left w:val="none" w:sz="0" w:space="0" w:color="auto"/>
        <w:bottom w:val="none" w:sz="0" w:space="0" w:color="auto"/>
        <w:right w:val="none" w:sz="0" w:space="0" w:color="auto"/>
      </w:divBdr>
    </w:div>
    <w:div w:id="1156074482">
      <w:bodyDiv w:val="1"/>
      <w:marLeft w:val="0"/>
      <w:marRight w:val="0"/>
      <w:marTop w:val="0"/>
      <w:marBottom w:val="0"/>
      <w:divBdr>
        <w:top w:val="none" w:sz="0" w:space="0" w:color="auto"/>
        <w:left w:val="none" w:sz="0" w:space="0" w:color="auto"/>
        <w:bottom w:val="none" w:sz="0" w:space="0" w:color="auto"/>
        <w:right w:val="none" w:sz="0" w:space="0" w:color="auto"/>
      </w:divBdr>
    </w:div>
    <w:div w:id="1613322932">
      <w:bodyDiv w:val="1"/>
      <w:marLeft w:val="0"/>
      <w:marRight w:val="0"/>
      <w:marTop w:val="0"/>
      <w:marBottom w:val="0"/>
      <w:divBdr>
        <w:top w:val="none" w:sz="0" w:space="0" w:color="auto"/>
        <w:left w:val="none" w:sz="0" w:space="0" w:color="auto"/>
        <w:bottom w:val="none" w:sz="0" w:space="0" w:color="auto"/>
        <w:right w:val="none" w:sz="0" w:space="0" w:color="auto"/>
      </w:divBdr>
    </w:div>
    <w:div w:id="1896891079">
      <w:bodyDiv w:val="1"/>
      <w:marLeft w:val="0"/>
      <w:marRight w:val="0"/>
      <w:marTop w:val="0"/>
      <w:marBottom w:val="0"/>
      <w:divBdr>
        <w:top w:val="none" w:sz="0" w:space="0" w:color="auto"/>
        <w:left w:val="none" w:sz="0" w:space="0" w:color="auto"/>
        <w:bottom w:val="none" w:sz="0" w:space="0" w:color="auto"/>
        <w:right w:val="none" w:sz="0" w:space="0" w:color="auto"/>
      </w:divBdr>
    </w:div>
    <w:div w:id="1986742596">
      <w:bodyDiv w:val="1"/>
      <w:marLeft w:val="0"/>
      <w:marRight w:val="0"/>
      <w:marTop w:val="0"/>
      <w:marBottom w:val="0"/>
      <w:divBdr>
        <w:top w:val="none" w:sz="0" w:space="0" w:color="auto"/>
        <w:left w:val="none" w:sz="0" w:space="0" w:color="auto"/>
        <w:bottom w:val="none" w:sz="0" w:space="0" w:color="auto"/>
        <w:right w:val="none" w:sz="0" w:space="0" w:color="auto"/>
      </w:divBdr>
    </w:div>
    <w:div w:id="20583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6AC0AC4DB97088458FE310789E564292" ma:contentTypeVersion="29" ma:contentTypeDescription="Create a new document." ma:contentTypeScope="" ma:versionID="8f2d0c9ce0550d95f39cef987cc260f1">
  <xsd:schema xmlns:xsd="http://www.w3.org/2001/XMLSchema" xmlns:xs="http://www.w3.org/2001/XMLSchema" xmlns:p="http://schemas.microsoft.com/office/2006/metadata/properties" xmlns:ns2="bf769b97-5fdc-4e6b-8016-1f102d982123" xmlns:ns3="9bc85aeb-6456-47dc-9b56-fc87d2a9b9c9" targetNamespace="http://schemas.microsoft.com/office/2006/metadata/properties" ma:root="true" ma:fieldsID="ca48ac2eac95ff6f9ec9f28d3d5e5e4b" ns2:_="" ns3:_="">
    <xsd:import namespace="bf769b97-5fdc-4e6b-8016-1f102d982123"/>
    <xsd:import namespace="9bc85aeb-6456-47dc-9b56-fc87d2a9b9c9"/>
    <xsd:element name="properties">
      <xsd:complexType>
        <xsd:sequence>
          <xsd:element name="documentManagement">
            <xsd:complexType>
              <xsd:all>
                <xsd:element ref="ns2:Document_x0020_Type" minOccurs="0"/>
                <xsd:element ref="ns2:TaxCatchAll" minOccurs="0"/>
                <xsd:element ref="ns3:l3ee1b4ecc024e27ad7412a3b97a748a" minOccurs="0"/>
                <xsd:element ref="ns2:TaxKeywordTaxHTField" minOccurs="0"/>
                <xsd:element ref="ns2:Fold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69b97-5fdc-4e6b-8016-1f102d982123"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5" nillable="true" ma:displayName="Taxonomy Catch All Column" ma:description="" ma:hidden="true" ma:list="{c4d117c4-d9df-4154-817a-772df4d087f0}" ma:internalName="TaxCatchAll" ma:readOnly="false" ma:showField="CatchAllData" ma:web="bf769b97-5fdc-4e6b-8016-1f102d982123">
      <xsd:complexType>
        <xsd:complexContent>
          <xsd:extension base="dms:MultiChoiceLookup">
            <xsd:sequence>
              <xsd:element name="Value" type="dms:Lookup" maxOccurs="unbounded" minOccurs="0" nillable="true"/>
            </xsd:sequence>
          </xsd:extension>
        </xsd:complexContent>
      </xsd:complex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Folder" ma:index="10" nillable="true" ma:displayName="Folder" ma:internalName="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c85aeb-6456-47dc-9b56-fc87d2a9b9c9" elementFormDefault="qualified">
    <xsd:import namespace="http://schemas.microsoft.com/office/2006/documentManagement/types"/>
    <xsd:import namespace="http://schemas.microsoft.com/office/infopath/2007/PartnerControls"/>
    <xsd:element name="l3ee1b4ecc024e27ad7412a3b97a748a" ma:index="7" nillable="true" ma:taxonomy="true" ma:internalName="l3ee1b4ecc024e27ad7412a3b97a748a" ma:taxonomyFieldName="Subje" ma:displayName="Subject" ma:readOnly="false" ma:fieldId="{53ee1b4e-cc02-4e27-ad74-12a3b97a748a}" ma:taxonomyMulti="true" ma:sspId="3323a573-f4b2-49c1-a657-d409971bfafb" ma:termSetId="cc640626-d56a-4929-8638-b3c3b978b24b" ma:anchorId="872e800c-ea5a-4adb-a049-99aca2a2fc47" ma:open="true" ma:isKeyword="false">
      <xsd:complexType>
        <xsd:sequence>
          <xsd:element ref="pc:Terms" minOccurs="0" maxOccurs="1"/>
        </xsd:sequence>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769b97-5fdc-4e6b-8016-1f102d982123"/>
    <Document_x0020_Type xmlns="bf769b97-5fdc-4e6b-8016-1f102d982123" xsi:nil="true"/>
    <TaxKeywordTaxHTField xmlns="bf769b97-5fdc-4e6b-8016-1f102d982123">
      <Terms xmlns="http://schemas.microsoft.com/office/infopath/2007/PartnerControls"/>
    </TaxKeywordTaxHTField>
    <l3ee1b4ecc024e27ad7412a3b97a748a xmlns="9bc85aeb-6456-47dc-9b56-fc87d2a9b9c9">
      <Terms xmlns="http://schemas.microsoft.com/office/infopath/2007/PartnerControls"/>
    </l3ee1b4ecc024e27ad7412a3b97a748a>
    <Folder xmlns="bf769b97-5fdc-4e6b-8016-1f102d9821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81E6F-9DC4-49FA-A5BA-8349132A6FB6}">
  <ds:schemaRefs>
    <ds:schemaRef ds:uri="http://schemas.microsoft.com/sharepoint/v3/contenttype/forms"/>
  </ds:schemaRefs>
</ds:datastoreItem>
</file>

<file path=customXml/itemProps2.xml><?xml version="1.0" encoding="utf-8"?>
<ds:datastoreItem xmlns:ds="http://schemas.openxmlformats.org/officeDocument/2006/customXml" ds:itemID="{D4B84A79-0E94-4CDD-9F5F-F0348AD09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69b97-5fdc-4e6b-8016-1f102d982123"/>
    <ds:schemaRef ds:uri="9bc85aeb-6456-47dc-9b56-fc87d2a9b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3F13D-782F-4222-9F9D-50D3E77DBD70}">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9bc85aeb-6456-47dc-9b56-fc87d2a9b9c9"/>
    <ds:schemaRef ds:uri="bf769b97-5fdc-4e6b-8016-1f102d98212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FE61DE0-5BB4-400A-A715-FDDBF2E0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FA97FB3D</Template>
  <TotalTime>4</TotalTime>
  <Pages>3</Pages>
  <Words>546</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2012/13 Performance Report</vt:lpstr>
    </vt:vector>
  </TitlesOfParts>
  <Company>Local Government Group</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Performance Report</dc:title>
  <dc:creator>helenp</dc:creator>
  <cp:lastModifiedBy>Paul Goodchild</cp:lastModifiedBy>
  <cp:revision>5</cp:revision>
  <cp:lastPrinted>2017-01-24T09:30:00Z</cp:lastPrinted>
  <dcterms:created xsi:type="dcterms:W3CDTF">2017-11-29T15:26:00Z</dcterms:created>
  <dcterms:modified xsi:type="dcterms:W3CDTF">2017-11-30T17:44:00Z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cathyb</vt:lpwstr>
  </property>
  <property fmtid="{D5CDD505-2E9C-101B-9397-08002B2CF9AE}" pid="5" name="DC.creator">
    <vt:lpwstr>GSS1\CathyB</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2012-07-05T00:00:00Z</vt:lpwstr>
  </property>
  <property fmtid="{D5CDD505-2E9C-101B-9397-08002B2CF9AE}" pid="10" name="e-GMS.subject.keyword">
    <vt:lpwstr>LGA Office Holders</vt:lpwstr>
  </property>
  <property fmtid="{D5CDD505-2E9C-101B-9397-08002B2CF9AE}" pid="11" name="Date">
    <vt:lpwstr>2012-07-05T00:00:00Z</vt:lpwstr>
  </property>
  <property fmtid="{D5CDD505-2E9C-101B-9397-08002B2CF9AE}" pid="12" name="ContentTypeId">
    <vt:lpwstr>0x0101006AC0AC4DB97088458FE310789E564292</vt:lpwstr>
  </property>
  <property fmtid="{D5CDD505-2E9C-101B-9397-08002B2CF9AE}" pid="13" name="Order">
    <vt:r8>100</vt:r8>
  </property>
  <property fmtid="{D5CDD505-2E9C-101B-9397-08002B2CF9AE}" pid="14" name="TaxKeyword">
    <vt:lpwstr/>
  </property>
  <property fmtid="{D5CDD505-2E9C-101B-9397-08002B2CF9AE}" pid="15" name="Subje">
    <vt:lpwstr/>
  </property>
</Properties>
</file>